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contextualSpacing/>
        <w:jc w:val="left"/>
        <w:rPr>
          <w:rFonts w:ascii="仿宋" w:hAnsi="仿宋" w:eastAsia="仿宋"/>
          <w:szCs w:val="21"/>
        </w:rPr>
      </w:pPr>
    </w:p>
    <w:p>
      <w:pPr>
        <w:spacing w:line="276" w:lineRule="auto"/>
        <w:ind w:firstLine="420" w:firstLineChars="200"/>
        <w:contextualSpacing/>
        <w:jc w:val="center"/>
        <w:rPr>
          <w:rFonts w:ascii="仿宋" w:hAnsi="仿宋" w:eastAsia="仿宋"/>
          <w:szCs w:val="21"/>
        </w:rPr>
      </w:pPr>
      <w:r>
        <w:rPr>
          <w:rFonts w:hint="eastAsia" w:ascii="仿宋" w:hAnsi="仿宋" w:eastAsia="仿宋"/>
          <w:szCs w:val="21"/>
        </w:rPr>
        <w:t>专业性展览会等级的划分及评定</w:t>
      </w:r>
    </w:p>
    <w:p>
      <w:pPr>
        <w:spacing w:line="276" w:lineRule="auto"/>
        <w:ind w:firstLine="422" w:firstLineChars="200"/>
        <w:contextualSpacing/>
        <w:jc w:val="left"/>
        <w:rPr>
          <w:rFonts w:ascii="仿宋" w:hAnsi="仿宋" w:eastAsia="仿宋"/>
          <w:b/>
          <w:szCs w:val="21"/>
        </w:rPr>
      </w:pPr>
      <w:r>
        <w:rPr>
          <w:rFonts w:hint="eastAsia" w:ascii="仿宋" w:hAnsi="仿宋" w:eastAsia="仿宋"/>
          <w:b/>
          <w:szCs w:val="21"/>
        </w:rPr>
        <w:t>　　前</w:t>
      </w:r>
      <w:r>
        <w:rPr>
          <w:rFonts w:ascii="仿宋" w:hAnsi="仿宋" w:eastAsia="仿宋"/>
          <w:b/>
          <w:szCs w:val="21"/>
        </w:rPr>
        <w:t xml:space="preserve"> 言</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本标准按照</w:t>
      </w:r>
      <w:r>
        <w:rPr>
          <w:rFonts w:ascii="仿宋" w:hAnsi="仿宋" w:eastAsia="仿宋"/>
          <w:szCs w:val="21"/>
        </w:rPr>
        <w:t>GB/T 1.1-2009给出的规则起草。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本标准是对</w:t>
      </w:r>
      <w:r>
        <w:rPr>
          <w:rFonts w:ascii="仿宋" w:hAnsi="仿宋" w:eastAsia="仿宋"/>
          <w:szCs w:val="21"/>
        </w:rPr>
        <w:t>SB/T 10358-2002《专业性展览会等级的划分及评定》的修订。</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本标准与原标准相比主要变化如下：</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——修改了参展商的定义；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——取消了境外参展商的定义；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——修订了等级的表示方法；</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——修订了专业性展览会的等级及表示方法；</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——增加了评定机构；</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——修订了专业性展览会等级评定条件；</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——修订了附录</w:t>
      </w:r>
      <w:r>
        <w:rPr>
          <w:rFonts w:ascii="仿宋" w:hAnsi="仿宋" w:eastAsia="仿宋"/>
          <w:szCs w:val="21"/>
        </w:rPr>
        <w:t>A专业性展览会等级的划分及评定标准。</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本标准由全国城市工业品贸易中心联合会提出。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本标准由中华人民共和国商务部归口。</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本标准起草单位：全国城市工业品贸易中心联合会、国家会议中心、宁波市人民政府会展工作办公室、长沙市人民政府会展工作管理办公室。</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本标准主要起草人：赵闯、刘海莹、杜中塔、张幸迩、常大磊、张颖。</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本标准于</w:t>
      </w:r>
      <w:r>
        <w:rPr>
          <w:rFonts w:ascii="仿宋" w:hAnsi="仿宋" w:eastAsia="仿宋"/>
          <w:szCs w:val="21"/>
        </w:rPr>
        <w:t>2002年12月2日首次发布，本次为第一次修订。</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1</w:t>
      </w:r>
      <w:r>
        <w:rPr>
          <w:rFonts w:hint="eastAsia" w:ascii="仿宋" w:hAnsi="仿宋" w:eastAsia="仿宋"/>
          <w:szCs w:val="21"/>
        </w:rPr>
        <w:t xml:space="preserve"> </w:t>
      </w:r>
      <w:r>
        <w:rPr>
          <w:rFonts w:ascii="仿宋" w:hAnsi="仿宋" w:eastAsia="仿宋"/>
          <w:szCs w:val="21"/>
        </w:rPr>
        <w:t>范围</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本标准规定了对专业性展览会等级划分和评定的原则、要求和方法。</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本标准适用于在中国境内举办的以经济贸易活动为目的的专业性展览会的等级划分及评定。</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2</w:t>
      </w:r>
      <w:r>
        <w:rPr>
          <w:rFonts w:hint="eastAsia" w:ascii="仿宋" w:hAnsi="仿宋" w:eastAsia="仿宋"/>
          <w:szCs w:val="21"/>
        </w:rPr>
        <w:t xml:space="preserve"> </w:t>
      </w:r>
      <w:r>
        <w:rPr>
          <w:rFonts w:ascii="仿宋" w:hAnsi="仿宋" w:eastAsia="仿宋"/>
          <w:szCs w:val="21"/>
        </w:rPr>
        <w:t>规范性引用文件</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下列文件对于本文件的应用是必不可少的。凡是注日期的引用文件，仅注日期的版本适用于本文件。凡是不注日期的引用文件，其最新版本（包括所有的修改单）适用于本文件。</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GB/T 19001 质量管理体系 要求</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GB/T 28001 职业健康安全管理体系 要求</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w:t>
      </w:r>
      <w:r>
        <w:rPr>
          <w:rFonts w:hint="eastAsia" w:ascii="仿宋" w:hAnsi="仿宋" w:eastAsia="仿宋"/>
          <w:szCs w:val="21"/>
        </w:rPr>
        <w:t xml:space="preserve"> </w:t>
      </w:r>
      <w:r>
        <w:rPr>
          <w:rFonts w:ascii="仿宋" w:hAnsi="仿宋" w:eastAsia="仿宋"/>
          <w:szCs w:val="21"/>
        </w:rPr>
        <w:t>术语和定义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下列术语和定义适用于本文件。</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3.1 专业性展览会 professional exhibition(show,fair,exposition)</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在固定或规定的地点、规定的日期和期限内，由主办者组织、若干参展商参与的通过展示促进产品、服务的推广和信息、技术交流的社会活动。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3.2 特殊装修展位比 raw space with special decoration</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由参展商自行或委托专业机构专门设计并特别装修的展览位置及其所覆盖的面积。</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3.3 展出净面积 exhibition net area</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专业性展览会用于展出的展位面积总和。以平方米（㎡）表示。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3.4 特殊装修展位面积 ratio of area for special booth</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特殊装修展位面积总和与展出净面积的比值。以百分比（</w:t>
      </w:r>
      <w:r>
        <w:rPr>
          <w:rFonts w:ascii="仿宋" w:hAnsi="仿宋" w:eastAsia="仿宋"/>
          <w:szCs w:val="21"/>
        </w:rPr>
        <w:t>%）表示。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3.5 参展商 exhibitor</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参加展览并租用展位的组织或个人。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3.6 专业观众 professional visitor</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从事专业性展览会上所展示产品的设计、开发、生产、销售、服务的观众，以及用户观众。</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注：这里所指的产品可以是有形的产品（如机械零件），也可以是无形的产品（如软件、服务等）。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3.7 等级 grade</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用于划分专业性展览会质量差异的级别设定。用英文大写字母</w:t>
      </w:r>
      <w:r>
        <w:rPr>
          <w:rFonts w:ascii="仿宋" w:hAnsi="仿宋" w:eastAsia="仿宋"/>
          <w:szCs w:val="21"/>
        </w:rPr>
        <w:t>AAA、AA、A表示。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w:t>
      </w:r>
      <w:r>
        <w:rPr>
          <w:rFonts w:hint="eastAsia" w:ascii="仿宋" w:hAnsi="仿宋" w:eastAsia="仿宋"/>
          <w:szCs w:val="21"/>
        </w:rPr>
        <w:t xml:space="preserve"> </w:t>
      </w:r>
      <w:r>
        <w:rPr>
          <w:rFonts w:ascii="仿宋" w:hAnsi="仿宋" w:eastAsia="仿宋"/>
          <w:szCs w:val="21"/>
        </w:rPr>
        <w:t>等级的划分、依据和评定方式</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4.1 专业性展览会的等级评定分为三个级别，由高到低依次为AAA级、AA级、A级。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4.2 等级的划分是以专业性展览会的主要构成要素为依据，包括：展览面积、参展商、观众、展览的连续性、参展商满意率和相关活动等方面。</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4.3 专业性展览会等级的具体评定标准，按照附录A执行。</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4.4 专业性展览会的等级是由评定机构依据统一的评定标准及方法评定产生，其评定结果表示该专业性展览会当前的等级状况，有效期为3年。具体的评定方式按专业性展览会评定机构制定的评定程序和评定实施细则执行。</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4.5 评定机构以文本的形式提出专业性展览会的等级，并出具由评定机构签章的专业性展览会等级证明文书。</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4.6 专业性展览会等级证明文书应清晰列明专业性展览会的等级、专业性展览会的名称，专业性展览会主办（承办）方、连续举办届数、有效期限等。</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4.7 专业性展览会等级的评定采取自愿的原则，主办（承办）方按有关程序向评定机构提出申请，由评定机构予以评定。</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5</w:t>
      </w:r>
      <w:r>
        <w:rPr>
          <w:rFonts w:hint="eastAsia" w:ascii="仿宋" w:hAnsi="仿宋" w:eastAsia="仿宋"/>
          <w:szCs w:val="21"/>
        </w:rPr>
        <w:t xml:space="preserve"> </w:t>
      </w:r>
      <w:r>
        <w:rPr>
          <w:rFonts w:ascii="仿宋" w:hAnsi="仿宋" w:eastAsia="仿宋"/>
          <w:szCs w:val="21"/>
        </w:rPr>
        <w:t>安全、卫生、环境和建筑的要求</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专业性展览会举办场馆的建筑、附属设施和管理应符合现行的国家、行业和地方的消防、安全、卫生、环境保护等有关法规和标准。</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w:t>
      </w:r>
      <w:r>
        <w:rPr>
          <w:rFonts w:hint="eastAsia" w:ascii="仿宋" w:hAnsi="仿宋" w:eastAsia="仿宋"/>
          <w:szCs w:val="21"/>
        </w:rPr>
        <w:t xml:space="preserve"> </w:t>
      </w:r>
      <w:r>
        <w:rPr>
          <w:rFonts w:ascii="仿宋" w:hAnsi="仿宋" w:eastAsia="仿宋"/>
          <w:szCs w:val="21"/>
        </w:rPr>
        <w:t>专业性展览会等级评定条件</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 AAA级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6.1.1 展览面积</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6.1.1.1 展出净面积不少于10000㎡.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6.1.1.2 特殊装修展位面积比至少达到50%。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6.1.2 参展商</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行业内骨干企业参展展位面积与展出净面积的比值不少于</w:t>
      </w:r>
      <w:r>
        <w:rPr>
          <w:rFonts w:ascii="仿宋" w:hAnsi="仿宋" w:eastAsia="仿宋"/>
          <w:szCs w:val="21"/>
        </w:rPr>
        <w:t>20%。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6.1.3 观众</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展览期间专业观众人次与观众总人次的比值不少于</w:t>
      </w:r>
      <w:r>
        <w:rPr>
          <w:rFonts w:ascii="仿宋" w:hAnsi="仿宋" w:eastAsia="仿宋"/>
          <w:szCs w:val="21"/>
        </w:rPr>
        <w:t>60%。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6.1.4 展览的连续性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同一个专业性展览会连续举办不少于</w:t>
      </w:r>
      <w:r>
        <w:rPr>
          <w:rFonts w:ascii="仿宋" w:hAnsi="仿宋" w:eastAsia="仿宋"/>
          <w:szCs w:val="21"/>
        </w:rPr>
        <w:t>6次。</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6.1.5 参展商满意率</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参展商满意率的评价按“参展商满意率调查表”的调查结果进行，其中总体评价结论为“很满意”和“满意”的数量总和，应不低于参展商总数的</w:t>
      </w:r>
      <w:r>
        <w:rPr>
          <w:rFonts w:ascii="仿宋" w:hAnsi="仿宋" w:eastAsia="仿宋"/>
          <w:szCs w:val="21"/>
        </w:rPr>
        <w:t>80%。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6.1.6 相关活动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专业性展览会期间组织与专业性展览会主题相关的活动。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 AA级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6.2.1 展览面积</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6.2.1.1 展出净面积不少于8000㎡.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6.2.1.2 特殊装修展位面积比至少达到40%。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6.2.2 参展商</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行业内骨干企业参展展位面积与展出净面积的比值不少于</w:t>
      </w:r>
      <w:r>
        <w:rPr>
          <w:rFonts w:ascii="仿宋" w:hAnsi="仿宋" w:eastAsia="仿宋"/>
          <w:szCs w:val="21"/>
        </w:rPr>
        <w:t>10%。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6.2.3 观众</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展览期间专业观众人次与观众总人次的比值不少于</w:t>
      </w:r>
      <w:r>
        <w:rPr>
          <w:rFonts w:ascii="仿宋" w:hAnsi="仿宋" w:eastAsia="仿宋"/>
          <w:szCs w:val="21"/>
        </w:rPr>
        <w:t>50%。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6.2.4 展览的连续性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同一个专业性展览会连续举办不少于</w:t>
      </w:r>
      <w:r>
        <w:rPr>
          <w:rFonts w:ascii="仿宋" w:hAnsi="仿宋" w:eastAsia="仿宋"/>
          <w:szCs w:val="21"/>
        </w:rPr>
        <w:t>4次。</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6.2.5 参展商满意率</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参展商满意率的评价按“参展商满意率调查表”的调查结果进行，其中总体评价结论为</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“很满意”和“满意”的数量总和，应不低于参展商总数的</w:t>
      </w:r>
      <w:r>
        <w:rPr>
          <w:rFonts w:ascii="仿宋" w:hAnsi="仿宋" w:eastAsia="仿宋"/>
          <w:szCs w:val="21"/>
        </w:rPr>
        <w:t>75%。</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6.2.6 相关活动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专业性展览会期间组织与专业性展览会主题相关的活动。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 A级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6.3.1 展览面积</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6.2.1.1 展出净面积不少于5000㎡.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6.2.1.2 特殊装修展位面积比至少达到30%。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6.3.2 参展商</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行业内骨干企业参展展位面积与展出净面积的比值不少于</w:t>
      </w:r>
      <w:r>
        <w:rPr>
          <w:rFonts w:ascii="仿宋" w:hAnsi="仿宋" w:eastAsia="仿宋"/>
          <w:szCs w:val="21"/>
        </w:rPr>
        <w:t>5%。</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6.3.3 观众</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展览期间专业观众人次与观众总人次的比值不少于</w:t>
      </w:r>
      <w:r>
        <w:rPr>
          <w:rFonts w:ascii="仿宋" w:hAnsi="仿宋" w:eastAsia="仿宋"/>
          <w:szCs w:val="21"/>
        </w:rPr>
        <w:t>40%。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6.3.4 展览的连续性</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同一个专业性展览会连续举办不少于</w:t>
      </w:r>
      <w:r>
        <w:rPr>
          <w:rFonts w:ascii="仿宋" w:hAnsi="仿宋" w:eastAsia="仿宋"/>
          <w:szCs w:val="21"/>
        </w:rPr>
        <w:t>3次。</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6.3.5 参展商满意率</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参展商满意率的评价按“参展商满意率调查表”的调查结果进行，其中总体评价结论为“很满意”和“满意”的数量总和，应不低于参展商总数的</w:t>
      </w:r>
      <w:r>
        <w:rPr>
          <w:rFonts w:ascii="仿宋" w:hAnsi="仿宋" w:eastAsia="仿宋"/>
          <w:szCs w:val="21"/>
        </w:rPr>
        <w:t>70%。</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6.3.6 相关活动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专业性展览会期间组织与专业性展览会主题相关的活动。</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7</w:t>
      </w:r>
      <w:r>
        <w:rPr>
          <w:rFonts w:hint="eastAsia" w:ascii="仿宋" w:hAnsi="仿宋" w:eastAsia="仿宋"/>
          <w:szCs w:val="21"/>
        </w:rPr>
        <w:t xml:space="preserve"> </w:t>
      </w:r>
      <w:r>
        <w:rPr>
          <w:rFonts w:ascii="仿宋" w:hAnsi="仿宋" w:eastAsia="仿宋"/>
          <w:szCs w:val="21"/>
        </w:rPr>
        <w:t>专业性展览会等级评定附加项</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7.1 负责专业性展览会具体组织管理工作的主办（承办）方通过GB/T 19001质量管理体系认证。</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7.2 展馆方通过GB/T 19001质量管理体系认证、GB/T 28001职业健康安全管理体系认证。</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7.3 装修和搭建的主要承办方通过GB/T 19001质量管理体系认证、GB/T 28001职业健康安全管理体系认证。</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w:t>
      </w:r>
      <w:r>
        <w:rPr>
          <w:rFonts w:ascii="仿宋" w:hAnsi="仿宋" w:eastAsia="仿宋"/>
          <w:szCs w:val="21"/>
        </w:rPr>
        <w:t>7.4 展览运输的主要承办方通过GB/T 19001质量管理体系认证、GB/T 28001职业健康安全管理体系认证。</w:t>
      </w:r>
    </w:p>
    <w:p>
      <w:pPr>
        <w:spacing w:line="276" w:lineRule="auto"/>
        <w:ind w:firstLine="420" w:firstLineChars="200"/>
        <w:contextualSpacing/>
        <w:jc w:val="left"/>
        <w:rPr>
          <w:rFonts w:ascii="仿宋" w:hAnsi="仿宋" w:eastAsia="仿宋"/>
          <w:szCs w:val="21"/>
        </w:rPr>
      </w:pPr>
      <w:r>
        <w:rPr>
          <w:rFonts w:hint="eastAsia" w:ascii="仿宋" w:hAnsi="仿宋" w:eastAsia="仿宋"/>
          <w:szCs w:val="21"/>
        </w:rPr>
        <w:t>　　注：专业性展览会等级评定附加项不作为专业性展览会等级评定的必要条件，达到的项目在评定时可以加分。</w:t>
      </w:r>
    </w:p>
    <w:p>
      <w:pPr>
        <w:contextualSpacing/>
        <w:jc w:val="left"/>
        <w:rPr>
          <w:rFonts w:ascii="仿宋" w:hAnsi="仿宋" w:eastAsia="仿宋"/>
          <w:szCs w:val="21"/>
        </w:rPr>
      </w:pPr>
    </w:p>
    <w:p>
      <w:pPr>
        <w:contextualSpacing/>
        <w:jc w:val="left"/>
        <w:rPr>
          <w:rFonts w:ascii="仿宋" w:hAnsi="仿宋" w:eastAsia="仿宋"/>
          <w:szCs w:val="21"/>
        </w:rPr>
      </w:pPr>
      <w:r>
        <w:rPr>
          <w:rFonts w:hint="eastAsia" w:ascii="仿宋" w:hAnsi="仿宋" w:eastAsia="仿宋"/>
          <w:szCs w:val="21"/>
        </w:rPr>
        <w:t>附录A</w:t>
      </w:r>
    </w:p>
    <w:p>
      <w:pPr>
        <w:contextualSpacing/>
        <w:jc w:val="left"/>
        <w:rPr>
          <w:rFonts w:ascii="仿宋" w:hAnsi="仿宋" w:eastAsia="仿宋"/>
          <w:szCs w:val="21"/>
        </w:rPr>
      </w:pPr>
      <w:r>
        <w:rPr>
          <w:rFonts w:hint="eastAsia" w:ascii="仿宋" w:hAnsi="仿宋" w:eastAsia="仿宋"/>
          <w:szCs w:val="21"/>
        </w:rPr>
        <w:t>（规范性</w:t>
      </w:r>
      <w:r>
        <w:rPr>
          <w:rFonts w:ascii="仿宋" w:hAnsi="仿宋" w:eastAsia="仿宋"/>
          <w:szCs w:val="21"/>
        </w:rPr>
        <w:t>附录</w:t>
      </w:r>
      <w:r>
        <w:rPr>
          <w:rFonts w:hint="eastAsia" w:ascii="仿宋" w:hAnsi="仿宋" w:eastAsia="仿宋"/>
          <w:szCs w:val="21"/>
        </w:rPr>
        <w:t>）</w:t>
      </w:r>
    </w:p>
    <w:p>
      <w:pPr>
        <w:contextualSpacing/>
        <w:jc w:val="left"/>
        <w:rPr>
          <w:rFonts w:ascii="仿宋" w:hAnsi="仿宋" w:eastAsia="仿宋"/>
          <w:szCs w:val="21"/>
        </w:rPr>
      </w:pPr>
      <w:r>
        <w:rPr>
          <w:rFonts w:hint="eastAsia" w:ascii="仿宋" w:hAnsi="仿宋" w:eastAsia="仿宋"/>
          <w:szCs w:val="21"/>
        </w:rPr>
        <w:t>专业</w:t>
      </w:r>
      <w:r>
        <w:rPr>
          <w:rFonts w:ascii="仿宋" w:hAnsi="仿宋" w:eastAsia="仿宋"/>
          <w:szCs w:val="21"/>
        </w:rPr>
        <w:t>性展览会</w:t>
      </w:r>
      <w:r>
        <w:rPr>
          <w:rFonts w:hint="eastAsia" w:ascii="仿宋" w:hAnsi="仿宋" w:eastAsia="仿宋"/>
          <w:szCs w:val="21"/>
        </w:rPr>
        <w:t>等级</w:t>
      </w:r>
      <w:r>
        <w:rPr>
          <w:rFonts w:ascii="仿宋" w:hAnsi="仿宋" w:eastAsia="仿宋"/>
          <w:szCs w:val="21"/>
        </w:rPr>
        <w:t>的划分及评定标准</w:t>
      </w:r>
    </w:p>
    <w:tbl>
      <w:tblPr>
        <w:tblStyle w:val="4"/>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5"/>
        <w:gridCol w:w="1138"/>
        <w:gridCol w:w="1138"/>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hint="eastAsia" w:ascii="仿宋" w:hAnsi="仿宋" w:eastAsia="仿宋"/>
                <w:szCs w:val="21"/>
              </w:rPr>
              <w:t>A.1</w:t>
            </w:r>
            <w:r>
              <w:rPr>
                <w:rFonts w:ascii="仿宋" w:hAnsi="仿宋" w:eastAsia="仿宋"/>
                <w:szCs w:val="21"/>
              </w:rPr>
              <w:t xml:space="preserve">  </w:t>
            </w:r>
            <w:r>
              <w:rPr>
                <w:rFonts w:hint="eastAsia" w:ascii="仿宋" w:hAnsi="仿宋" w:eastAsia="仿宋"/>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hint="eastAsia" w:ascii="仿宋" w:hAnsi="仿宋" w:eastAsia="仿宋"/>
                <w:szCs w:val="21"/>
              </w:rPr>
              <w:t>A.1.1</w:t>
            </w:r>
            <w:r>
              <w:rPr>
                <w:rFonts w:ascii="仿宋" w:hAnsi="仿宋" w:eastAsia="仿宋"/>
                <w:szCs w:val="21"/>
              </w:rPr>
              <w:t xml:space="preserve"> </w:t>
            </w:r>
            <w:r>
              <w:rPr>
                <w:rFonts w:hint="eastAsia" w:ascii="仿宋" w:hAnsi="仿宋" w:eastAsia="仿宋"/>
                <w:szCs w:val="21"/>
              </w:rPr>
              <w:t>本标准满分为720分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hint="eastAsia" w:ascii="仿宋" w:hAnsi="仿宋" w:eastAsia="仿宋"/>
                <w:szCs w:val="21"/>
              </w:rPr>
              <w:t>A.1.2</w:t>
            </w:r>
            <w:r>
              <w:rPr>
                <w:rFonts w:ascii="仿宋" w:hAnsi="仿宋" w:eastAsia="仿宋"/>
                <w:szCs w:val="21"/>
              </w:rPr>
              <w:t xml:space="preserve"> </w:t>
            </w:r>
            <w:r>
              <w:rPr>
                <w:rFonts w:hint="eastAsia" w:ascii="仿宋" w:hAnsi="仿宋" w:eastAsia="仿宋"/>
                <w:szCs w:val="21"/>
              </w:rPr>
              <w:t>各等级应达到的最低分数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ascii="仿宋" w:hAnsi="仿宋" w:eastAsia="仿宋"/>
                <w:szCs w:val="21"/>
              </w:rPr>
              <w:t xml:space="preserve">      AAA</w:t>
            </w:r>
            <w:r>
              <w:rPr>
                <w:rFonts w:hint="eastAsia" w:ascii="仿宋" w:hAnsi="仿宋" w:eastAsia="仿宋"/>
                <w:szCs w:val="21"/>
              </w:rPr>
              <w:t>级：650分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hint="eastAsia" w:ascii="仿宋" w:hAnsi="仿宋" w:eastAsia="仿宋"/>
                <w:szCs w:val="21"/>
              </w:rPr>
              <w:t xml:space="preserve">       AA级：530分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6" w:type="dxa"/>
            <w:gridSpan w:val="4"/>
          </w:tcPr>
          <w:p>
            <w:pPr>
              <w:contextualSpacing/>
              <w:jc w:val="left"/>
              <w:rPr>
                <w:rFonts w:ascii="仿宋" w:hAnsi="仿宋" w:eastAsia="仿宋"/>
                <w:szCs w:val="21"/>
              </w:rPr>
            </w:pPr>
            <w:r>
              <w:rPr>
                <w:rFonts w:hint="eastAsia" w:ascii="仿宋" w:hAnsi="仿宋" w:eastAsia="仿宋"/>
                <w:szCs w:val="21"/>
              </w:rPr>
              <w:t xml:space="preserve">        A级：430分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 评分标准</w:t>
            </w:r>
          </w:p>
        </w:tc>
        <w:tc>
          <w:tcPr>
            <w:tcW w:w="1138" w:type="dxa"/>
          </w:tcPr>
          <w:p>
            <w:pPr>
              <w:contextualSpacing/>
              <w:jc w:val="left"/>
              <w:rPr>
                <w:rFonts w:ascii="仿宋" w:hAnsi="仿宋" w:eastAsia="仿宋"/>
                <w:szCs w:val="21"/>
              </w:rPr>
            </w:pPr>
            <w:r>
              <w:rPr>
                <w:rFonts w:hint="eastAsia" w:ascii="仿宋" w:hAnsi="仿宋" w:eastAsia="仿宋"/>
                <w:szCs w:val="21"/>
              </w:rPr>
              <w:t>各大项的得分汇总栏</w:t>
            </w:r>
          </w:p>
        </w:tc>
        <w:tc>
          <w:tcPr>
            <w:tcW w:w="1138" w:type="dxa"/>
          </w:tcPr>
          <w:p>
            <w:pPr>
              <w:contextualSpacing/>
              <w:jc w:val="left"/>
              <w:rPr>
                <w:rFonts w:ascii="仿宋" w:hAnsi="仿宋" w:eastAsia="仿宋"/>
                <w:szCs w:val="21"/>
              </w:rPr>
            </w:pPr>
            <w:r>
              <w:rPr>
                <w:rFonts w:hint="eastAsia" w:ascii="仿宋" w:hAnsi="仿宋" w:eastAsia="仿宋"/>
                <w:szCs w:val="21"/>
              </w:rPr>
              <w:t>各分项的得分汇总栏</w:t>
            </w:r>
          </w:p>
        </w:tc>
        <w:tc>
          <w:tcPr>
            <w:tcW w:w="2155" w:type="dxa"/>
          </w:tcPr>
          <w:p>
            <w:pPr>
              <w:contextualSpacing/>
              <w:jc w:val="left"/>
              <w:rPr>
                <w:rFonts w:ascii="仿宋" w:hAnsi="仿宋" w:eastAsia="仿宋"/>
                <w:szCs w:val="21"/>
              </w:rPr>
            </w:pPr>
            <w:r>
              <w:rPr>
                <w:rFonts w:hint="eastAsia" w:ascii="仿宋" w:hAnsi="仿宋" w:eastAsia="仿宋"/>
                <w:szCs w:val="21"/>
              </w:rPr>
              <w:t>计分栏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A.2.1 展出的净面积级及特殊装修展位的面积比</w:t>
            </w:r>
          </w:p>
        </w:tc>
        <w:tc>
          <w:tcPr>
            <w:tcW w:w="1138" w:type="dxa"/>
          </w:tcPr>
          <w:p>
            <w:pPr>
              <w:contextualSpacing/>
              <w:jc w:val="left"/>
              <w:rPr>
                <w:rFonts w:ascii="仿宋" w:hAnsi="仿宋" w:eastAsia="仿宋"/>
                <w:szCs w:val="21"/>
              </w:rPr>
            </w:pPr>
            <w:r>
              <w:rPr>
                <w:rFonts w:hint="eastAsia" w:ascii="仿宋" w:hAnsi="仿宋" w:eastAsia="仿宋"/>
                <w:szCs w:val="21"/>
              </w:rPr>
              <w:t>100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A.2.1.1 </w:t>
            </w:r>
            <w:r>
              <w:rPr>
                <w:rFonts w:hint="eastAsia" w:ascii="仿宋" w:hAnsi="仿宋" w:eastAsia="仿宋"/>
                <w:szCs w:val="21"/>
              </w:rPr>
              <w:t>展出净面积不少于10000</w:t>
            </w:r>
            <w:r>
              <w:rPr>
                <w:rFonts w:ascii="仿宋" w:hAnsi="仿宋" w:eastAsia="仿宋"/>
                <w:szCs w:val="21"/>
              </w:rPr>
              <w:t>m2</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r>
              <w:rPr>
                <w:rFonts w:hint="eastAsia" w:ascii="仿宋" w:hAnsi="仿宋" w:eastAsia="仿宋"/>
                <w:szCs w:val="21"/>
              </w:rPr>
              <w:t>50</w:t>
            </w:r>
          </w:p>
        </w:tc>
        <w:tc>
          <w:tcPr>
            <w:tcW w:w="2155" w:type="dxa"/>
          </w:tcPr>
          <w:p>
            <w:pPr>
              <w:contextualSpacing/>
              <w:jc w:val="left"/>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展出净面积不少于8000</w:t>
            </w:r>
            <w:r>
              <w:rPr>
                <w:rFonts w:ascii="仿宋" w:hAnsi="仿宋" w:eastAsia="仿宋"/>
                <w:szCs w:val="21"/>
              </w:rPr>
              <w:t>m2</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展出净面积不少于5000</w:t>
            </w:r>
            <w:r>
              <w:rPr>
                <w:rFonts w:ascii="仿宋" w:hAnsi="仿宋" w:eastAsia="仿宋"/>
                <w:szCs w:val="21"/>
              </w:rPr>
              <w:t>m2</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展出净面积不少于3000</w:t>
            </w:r>
            <w:r>
              <w:rPr>
                <w:rFonts w:ascii="仿宋" w:hAnsi="仿宋" w:eastAsia="仿宋"/>
                <w:szCs w:val="21"/>
              </w:rPr>
              <w:t>m2</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A.2.2.1 特殊装修展位面积比不少于50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r>
              <w:rPr>
                <w:rFonts w:ascii="仿宋" w:hAnsi="仿宋" w:eastAsia="仿宋"/>
                <w:szCs w:val="21"/>
              </w:rPr>
              <w:t>50</w:t>
            </w:r>
          </w:p>
        </w:tc>
        <w:tc>
          <w:tcPr>
            <w:tcW w:w="2155" w:type="dxa"/>
          </w:tcPr>
          <w:p>
            <w:pPr>
              <w:contextualSpacing/>
              <w:jc w:val="left"/>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特殊装修展位面积比不少于40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特殊装修展位面积比不少于30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A.2.2  参展商</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行业内骨干企业参展展位面积与展出净面积的比值不少于40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r>
              <w:rPr>
                <w:rFonts w:hint="eastAsia" w:ascii="仿宋" w:hAnsi="仿宋" w:eastAsia="仿宋"/>
                <w:szCs w:val="21"/>
              </w:rPr>
              <w:t>7</w:t>
            </w:r>
            <w:r>
              <w:rPr>
                <w:rFonts w:ascii="仿宋" w:hAnsi="仿宋" w:eastAsia="仿宋"/>
                <w:szCs w:val="21"/>
              </w:rPr>
              <w:t>0</w:t>
            </w:r>
          </w:p>
        </w:tc>
        <w:tc>
          <w:tcPr>
            <w:tcW w:w="2155" w:type="dxa"/>
          </w:tcPr>
          <w:p>
            <w:pPr>
              <w:contextualSpacing/>
              <w:jc w:val="left"/>
              <w:rPr>
                <w:rFonts w:ascii="仿宋" w:hAnsi="仿宋" w:eastAsia="仿宋"/>
                <w:szCs w:val="21"/>
              </w:rPr>
            </w:pPr>
            <w:r>
              <w:rPr>
                <w:rFonts w:hint="eastAsia" w:ascii="仿宋" w:hAnsi="仿宋" w:eastAsia="仿宋"/>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行业内骨干企业参展展位面积与展出净面积的比值不少于30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行业内骨干企业参展展位面积与展出净面积的比值不少于20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行业内骨干企业参展展位面积与展出净面积的比值不少于10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A.2.3 观众</w:t>
            </w:r>
          </w:p>
        </w:tc>
        <w:tc>
          <w:tcPr>
            <w:tcW w:w="1138" w:type="dxa"/>
          </w:tcPr>
          <w:p>
            <w:pPr>
              <w:contextualSpacing/>
              <w:jc w:val="left"/>
              <w:rPr>
                <w:rFonts w:ascii="仿宋" w:hAnsi="仿宋" w:eastAsia="仿宋"/>
                <w:szCs w:val="21"/>
              </w:rPr>
            </w:pPr>
            <w:r>
              <w:rPr>
                <w:rFonts w:hint="eastAsia" w:ascii="仿宋" w:hAnsi="仿宋" w:eastAsia="仿宋"/>
                <w:szCs w:val="21"/>
              </w:rPr>
              <w:t>150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展览期间专业观众人次与观众总人次的比值不少于80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r>
              <w:rPr>
                <w:rFonts w:hint="eastAsia" w:ascii="仿宋" w:hAnsi="仿宋" w:eastAsia="仿宋"/>
                <w:szCs w:val="21"/>
              </w:rPr>
              <w:t>150</w:t>
            </w:r>
          </w:p>
        </w:tc>
        <w:tc>
          <w:tcPr>
            <w:tcW w:w="2155" w:type="dxa"/>
          </w:tcPr>
          <w:p>
            <w:pPr>
              <w:contextualSpacing/>
              <w:jc w:val="left"/>
              <w:rPr>
                <w:rFonts w:ascii="仿宋" w:hAnsi="仿宋" w:eastAsia="仿宋"/>
                <w:szCs w:val="21"/>
              </w:rPr>
            </w:pPr>
            <w:r>
              <w:rPr>
                <w:rFonts w:hint="eastAsia" w:ascii="仿宋" w:hAnsi="仿宋" w:eastAsia="仿宋"/>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展览期间专业观众人次与观众总人次的比值不少于70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展览期间专业观众人次与观众总人次的比值不少于60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展览期间专业观众人次与观众总人次的比值不少于50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展览期间专业观众人次与观众总人次的比值不少于40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A.2.4 展览的连续性</w:t>
            </w:r>
          </w:p>
        </w:tc>
        <w:tc>
          <w:tcPr>
            <w:tcW w:w="1138" w:type="dxa"/>
          </w:tcPr>
          <w:p>
            <w:pPr>
              <w:contextualSpacing/>
              <w:jc w:val="left"/>
              <w:rPr>
                <w:rFonts w:ascii="仿宋" w:hAnsi="仿宋" w:eastAsia="仿宋"/>
                <w:szCs w:val="21"/>
              </w:rPr>
            </w:pPr>
            <w:r>
              <w:rPr>
                <w:rFonts w:hint="eastAsia" w:ascii="仿宋" w:hAnsi="仿宋" w:eastAsia="仿宋"/>
                <w:szCs w:val="21"/>
              </w:rPr>
              <w:t>50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同一个专业性展览会连续举办不少于6次</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同一个专业性展览会连续举办不少于4次</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同一个专业性展览会连续举办不少于3次</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A.2.5 参展商满意率</w:t>
            </w:r>
          </w:p>
        </w:tc>
        <w:tc>
          <w:tcPr>
            <w:tcW w:w="1138" w:type="dxa"/>
          </w:tcPr>
          <w:p>
            <w:pPr>
              <w:contextualSpacing/>
              <w:jc w:val="left"/>
              <w:rPr>
                <w:rFonts w:ascii="仿宋" w:hAnsi="仿宋" w:eastAsia="仿宋"/>
                <w:szCs w:val="21"/>
              </w:rPr>
            </w:pPr>
            <w:r>
              <w:rPr>
                <w:rFonts w:hint="eastAsia" w:ascii="仿宋" w:hAnsi="仿宋" w:eastAsia="仿宋"/>
                <w:szCs w:val="21"/>
              </w:rPr>
              <w:t>150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参展商的满意率调查表中对展览会的总体评价结论为“很满意”和“满意”的数量总和不低于参展商总数的85</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参展商的满意率调查表中对展览会的总体评价结论为“很满意”和“满意”的数量总和不低于参展商总数的80</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参展商的满意率调查表中对展览会的总体评价结论为“很满意”和“满意”的数量总和不低于参展商总数的75</w:t>
            </w:r>
            <w:r>
              <w:rPr>
                <w:rFonts w:ascii="仿宋" w:hAnsi="仿宋" w:eastAsia="仿宋"/>
                <w:szCs w:val="21"/>
              </w:rPr>
              <w:t>%</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   </w:t>
            </w:r>
            <w:r>
              <w:rPr>
                <w:rFonts w:hint="eastAsia" w:ascii="仿宋" w:hAnsi="仿宋" w:eastAsia="仿宋"/>
                <w:szCs w:val="21"/>
              </w:rPr>
              <w:t>参展商的满意率调查表中对展览会的总体评价结论为“很满意”和“满意”的数量总和不低于参展商总数的70%</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A.2.6</w:t>
            </w:r>
            <w:r>
              <w:rPr>
                <w:rFonts w:ascii="仿宋" w:hAnsi="仿宋" w:eastAsia="仿宋"/>
                <w:szCs w:val="21"/>
              </w:rPr>
              <w:t xml:space="preserve"> </w:t>
            </w:r>
            <w:r>
              <w:rPr>
                <w:rFonts w:hint="eastAsia" w:ascii="仿宋" w:hAnsi="仿宋" w:eastAsia="仿宋"/>
                <w:szCs w:val="21"/>
              </w:rPr>
              <w:t>相关活动</w:t>
            </w:r>
          </w:p>
        </w:tc>
        <w:tc>
          <w:tcPr>
            <w:tcW w:w="1138" w:type="dxa"/>
          </w:tcPr>
          <w:p>
            <w:pPr>
              <w:contextualSpacing/>
              <w:jc w:val="left"/>
              <w:rPr>
                <w:rFonts w:ascii="仿宋" w:hAnsi="仿宋" w:eastAsia="仿宋"/>
                <w:szCs w:val="21"/>
              </w:rPr>
            </w:pPr>
            <w:r>
              <w:rPr>
                <w:rFonts w:hint="eastAsia" w:ascii="仿宋" w:hAnsi="仿宋" w:eastAsia="仿宋"/>
                <w:szCs w:val="21"/>
              </w:rPr>
              <w:t>80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 xml:space="preserve">     展览会期间组织与展览会主题相关的各种活动</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A.2.7</w:t>
            </w:r>
            <w:r>
              <w:rPr>
                <w:rFonts w:ascii="仿宋" w:hAnsi="仿宋" w:eastAsia="仿宋"/>
                <w:szCs w:val="21"/>
              </w:rPr>
              <w:t xml:space="preserve"> </w:t>
            </w:r>
            <w:r>
              <w:rPr>
                <w:rFonts w:hint="eastAsia" w:ascii="仿宋" w:hAnsi="仿宋" w:eastAsia="仿宋"/>
                <w:szCs w:val="21"/>
              </w:rPr>
              <w:t>附加评定项</w:t>
            </w:r>
          </w:p>
        </w:tc>
        <w:tc>
          <w:tcPr>
            <w:tcW w:w="1138" w:type="dxa"/>
          </w:tcPr>
          <w:p>
            <w:pPr>
              <w:contextualSpacing/>
              <w:jc w:val="left"/>
              <w:rPr>
                <w:rFonts w:ascii="仿宋" w:hAnsi="仿宋" w:eastAsia="仿宋"/>
                <w:szCs w:val="21"/>
              </w:rPr>
            </w:pPr>
            <w:r>
              <w:rPr>
                <w:rFonts w:hint="eastAsia" w:ascii="仿宋" w:hAnsi="仿宋" w:eastAsia="仿宋"/>
                <w:szCs w:val="21"/>
              </w:rPr>
              <w:t>120</w:t>
            </w: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w:t>
            </w:r>
            <w:r>
              <w:rPr>
                <w:rFonts w:ascii="仿宋" w:hAnsi="仿宋" w:eastAsia="仿宋"/>
                <w:szCs w:val="21"/>
              </w:rPr>
              <w:t xml:space="preserve">2.7.1  </w:t>
            </w:r>
            <w:r>
              <w:rPr>
                <w:rFonts w:hint="eastAsia" w:ascii="仿宋" w:hAnsi="仿宋" w:eastAsia="仿宋"/>
                <w:szCs w:val="21"/>
              </w:rPr>
              <w:t>主办（承办）方通过GB/</w:t>
            </w:r>
            <w:r>
              <w:rPr>
                <w:rFonts w:ascii="仿宋" w:hAnsi="仿宋" w:eastAsia="仿宋"/>
                <w:szCs w:val="21"/>
              </w:rPr>
              <w:t>T 19001</w:t>
            </w:r>
            <w:r>
              <w:rPr>
                <w:rFonts w:hint="eastAsia" w:ascii="仿宋" w:hAnsi="仿宋" w:eastAsia="仿宋"/>
                <w:szCs w:val="21"/>
              </w:rPr>
              <w:t>质量管理体系认证</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A.2.7.2  展馆方通过GB/</w:t>
            </w:r>
            <w:r>
              <w:rPr>
                <w:rFonts w:ascii="仿宋" w:hAnsi="仿宋" w:eastAsia="仿宋"/>
                <w:szCs w:val="21"/>
              </w:rPr>
              <w:t>T 19001</w:t>
            </w:r>
            <w:r>
              <w:rPr>
                <w:rFonts w:hint="eastAsia" w:ascii="仿宋" w:hAnsi="仿宋" w:eastAsia="仿宋"/>
                <w:szCs w:val="21"/>
              </w:rPr>
              <w:t>质量管理体系</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A.2.7.3  </w:t>
            </w:r>
            <w:r>
              <w:rPr>
                <w:rFonts w:hint="eastAsia" w:ascii="仿宋" w:hAnsi="仿宋" w:eastAsia="仿宋"/>
                <w:szCs w:val="21"/>
              </w:rPr>
              <w:t>展馆方通过GB</w:t>
            </w:r>
            <w:r>
              <w:rPr>
                <w:rFonts w:ascii="仿宋" w:hAnsi="仿宋" w:eastAsia="仿宋"/>
                <w:szCs w:val="21"/>
              </w:rPr>
              <w:t>/T 28001</w:t>
            </w:r>
            <w:r>
              <w:rPr>
                <w:rFonts w:hint="eastAsia" w:ascii="仿宋" w:hAnsi="仿宋" w:eastAsia="仿宋"/>
                <w:szCs w:val="21"/>
              </w:rPr>
              <w:t>职业健康安全管理体系认证</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ascii="仿宋" w:hAnsi="仿宋" w:eastAsia="仿宋"/>
                <w:szCs w:val="21"/>
              </w:rPr>
              <w:t xml:space="preserve">A.2.7.4  </w:t>
            </w:r>
            <w:r>
              <w:rPr>
                <w:rFonts w:hint="eastAsia" w:ascii="仿宋" w:hAnsi="仿宋" w:eastAsia="仿宋"/>
                <w:szCs w:val="21"/>
              </w:rPr>
              <w:t>装修和搭建的主要承办方通过GB/</w:t>
            </w:r>
            <w:r>
              <w:rPr>
                <w:rFonts w:ascii="仿宋" w:hAnsi="仿宋" w:eastAsia="仿宋"/>
                <w:szCs w:val="21"/>
              </w:rPr>
              <w:t>T 19001</w:t>
            </w:r>
            <w:r>
              <w:rPr>
                <w:rFonts w:hint="eastAsia" w:ascii="仿宋" w:hAnsi="仿宋" w:eastAsia="仿宋"/>
                <w:szCs w:val="21"/>
              </w:rPr>
              <w:t>质量管理体系</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A.2.7.5  装修和搭建的主要承办方通过GB</w:t>
            </w:r>
            <w:r>
              <w:rPr>
                <w:rFonts w:ascii="仿宋" w:hAnsi="仿宋" w:eastAsia="仿宋"/>
                <w:szCs w:val="21"/>
              </w:rPr>
              <w:t>/T 28001</w:t>
            </w:r>
            <w:r>
              <w:rPr>
                <w:rFonts w:hint="eastAsia" w:ascii="仿宋" w:hAnsi="仿宋" w:eastAsia="仿宋"/>
                <w:szCs w:val="21"/>
              </w:rPr>
              <w:t>职业健康安全管理体系认证</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A.2.7.6  展览运输的主要承办方通过GB/</w:t>
            </w:r>
            <w:r>
              <w:rPr>
                <w:rFonts w:ascii="仿宋" w:hAnsi="仿宋" w:eastAsia="仿宋"/>
                <w:szCs w:val="21"/>
              </w:rPr>
              <w:t>T 19001</w:t>
            </w:r>
            <w:r>
              <w:rPr>
                <w:rFonts w:hint="eastAsia" w:ascii="仿宋" w:hAnsi="仿宋" w:eastAsia="仿宋"/>
                <w:szCs w:val="21"/>
              </w:rPr>
              <w:t>质量管理体系</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5" w:type="dxa"/>
          </w:tcPr>
          <w:p>
            <w:pPr>
              <w:contextualSpacing/>
              <w:jc w:val="left"/>
              <w:rPr>
                <w:rFonts w:ascii="仿宋" w:hAnsi="仿宋" w:eastAsia="仿宋"/>
                <w:szCs w:val="21"/>
              </w:rPr>
            </w:pPr>
            <w:r>
              <w:rPr>
                <w:rFonts w:hint="eastAsia" w:ascii="仿宋" w:hAnsi="仿宋" w:eastAsia="仿宋"/>
                <w:szCs w:val="21"/>
              </w:rPr>
              <w:t>A.2.7.7  展览运输的主要承办方通过GB</w:t>
            </w:r>
            <w:r>
              <w:rPr>
                <w:rFonts w:ascii="仿宋" w:hAnsi="仿宋" w:eastAsia="仿宋"/>
                <w:szCs w:val="21"/>
              </w:rPr>
              <w:t>/T 28001</w:t>
            </w:r>
            <w:r>
              <w:rPr>
                <w:rFonts w:hint="eastAsia" w:ascii="仿宋" w:hAnsi="仿宋" w:eastAsia="仿宋"/>
                <w:szCs w:val="21"/>
              </w:rPr>
              <w:t>职业健康安全管理体系认证</w:t>
            </w:r>
          </w:p>
        </w:tc>
        <w:tc>
          <w:tcPr>
            <w:tcW w:w="1138" w:type="dxa"/>
          </w:tcPr>
          <w:p>
            <w:pPr>
              <w:contextualSpacing/>
              <w:jc w:val="left"/>
              <w:rPr>
                <w:rFonts w:ascii="仿宋" w:hAnsi="仿宋" w:eastAsia="仿宋"/>
                <w:szCs w:val="21"/>
              </w:rPr>
            </w:pPr>
          </w:p>
        </w:tc>
        <w:tc>
          <w:tcPr>
            <w:tcW w:w="1138" w:type="dxa"/>
          </w:tcPr>
          <w:p>
            <w:pPr>
              <w:contextualSpacing/>
              <w:jc w:val="left"/>
              <w:rPr>
                <w:rFonts w:ascii="仿宋" w:hAnsi="仿宋" w:eastAsia="仿宋"/>
                <w:szCs w:val="21"/>
              </w:rPr>
            </w:pPr>
          </w:p>
        </w:tc>
        <w:tc>
          <w:tcPr>
            <w:tcW w:w="2155" w:type="dxa"/>
          </w:tcPr>
          <w:p>
            <w:pPr>
              <w:contextualSpacing/>
              <w:jc w:val="left"/>
              <w:rPr>
                <w:rFonts w:ascii="仿宋" w:hAnsi="仿宋" w:eastAsia="仿宋"/>
                <w:szCs w:val="21"/>
              </w:rPr>
            </w:pPr>
            <w:r>
              <w:rPr>
                <w:rFonts w:hint="eastAsia" w:ascii="仿宋" w:hAnsi="仿宋" w:eastAsia="仿宋"/>
                <w:szCs w:val="21"/>
              </w:rPr>
              <w:t>15</w:t>
            </w:r>
          </w:p>
        </w:tc>
      </w:tr>
    </w:tbl>
    <w:p>
      <w:pPr>
        <w:contextualSpacing/>
        <w:jc w:val="left"/>
        <w:rPr>
          <w:rFonts w:ascii="仿宋" w:hAnsi="仿宋" w:eastAsia="仿宋"/>
          <w:szCs w:val="21"/>
        </w:rPr>
      </w:pPr>
    </w:p>
    <w:p>
      <w:pPr>
        <w:contextualSpacing/>
        <w:jc w:val="left"/>
        <w:rPr>
          <w:rFonts w:ascii="仿宋" w:hAnsi="仿宋" w:eastAsia="仿宋"/>
          <w:szCs w:val="21"/>
        </w:rPr>
      </w:pPr>
      <w:r>
        <w:rPr>
          <w:rFonts w:ascii="仿宋" w:hAnsi="仿宋" w:eastAsia="仿宋"/>
          <w:szCs w:val="21"/>
        </w:rPr>
        <w:t>2013</w:t>
      </w:r>
      <w:r>
        <w:rPr>
          <w:rFonts w:hint="eastAsia" w:ascii="仿宋" w:hAnsi="仿宋" w:eastAsia="仿宋"/>
          <w:szCs w:val="21"/>
        </w:rPr>
        <w:t>-</w:t>
      </w:r>
      <w:r>
        <w:rPr>
          <w:rFonts w:ascii="仿宋" w:hAnsi="仿宋" w:eastAsia="仿宋"/>
          <w:szCs w:val="21"/>
        </w:rPr>
        <w:t>01-04</w:t>
      </w:r>
      <w:r>
        <w:rPr>
          <w:rFonts w:hint="eastAsia" w:ascii="仿宋" w:hAnsi="仿宋" w:eastAsia="仿宋"/>
          <w:szCs w:val="21"/>
        </w:rPr>
        <w:t>发布                                  2013</w:t>
      </w:r>
      <w:r>
        <w:rPr>
          <w:rFonts w:ascii="仿宋" w:hAnsi="仿宋" w:eastAsia="仿宋"/>
          <w:szCs w:val="21"/>
        </w:rPr>
        <w:t xml:space="preserve">-07-01 </w:t>
      </w:r>
      <w:r>
        <w:rPr>
          <w:rFonts w:hint="eastAsia" w:ascii="仿宋" w:hAnsi="仿宋" w:eastAsia="仿宋"/>
          <w:szCs w:val="21"/>
        </w:rPr>
        <w:t>实施</w:t>
      </w:r>
    </w:p>
    <w:p>
      <w:pPr>
        <w:contextualSpacing/>
        <w:jc w:val="left"/>
        <w:rPr>
          <w:rFonts w:ascii="仿宋" w:hAnsi="仿宋" w:eastAsia="仿宋"/>
          <w:szCs w:val="21"/>
        </w:rPr>
      </w:pPr>
      <w:r>
        <w:rPr>
          <w:rFonts w:hint="eastAsia" w:ascii="仿宋" w:hAnsi="仿宋" w:eastAsia="仿宋"/>
          <w:szCs w:val="21"/>
        </w:rPr>
        <w:t>中华人民共和国国内贸易行业标准</w:t>
      </w:r>
    </w:p>
    <w:p>
      <w:pPr>
        <w:contextualSpacing/>
        <w:jc w:val="left"/>
        <w:rPr>
          <w:rFonts w:ascii="仿宋" w:hAnsi="仿宋" w:eastAsia="仿宋"/>
          <w:szCs w:val="21"/>
        </w:rPr>
      </w:pPr>
      <w:r>
        <w:rPr>
          <w:rFonts w:ascii="仿宋" w:hAnsi="仿宋" w:eastAsia="仿宋"/>
          <w:szCs w:val="21"/>
        </w:rPr>
        <w:t>SB/T 10838-2012</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粗仿宋简">
    <w:altName w:val="微软雅黑"/>
    <w:panose1 w:val="00000000000000000000"/>
    <w:charset w:val="86"/>
    <w:family w:val="auto"/>
    <w:pitch w:val="default"/>
    <w:sig w:usb0="00000000" w:usb1="00000000" w:usb2="00000012"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algun Gothic Semilight">
    <w:altName w:val="宋体"/>
    <w:panose1 w:val="020B0502040204020203"/>
    <w:charset w:val="86"/>
    <w:family w:val="swiss"/>
    <w:pitch w:val="default"/>
    <w:sig w:usb0="00000000" w:usb1="00000000" w:usb2="00000012" w:usb3="00000000" w:csb0="003E01BD"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4031F"/>
    <w:rsid w:val="3B840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2017-09-19T08:44:00Z</dcterms:created>
  <dc:creator>Administrator</dc:creator>
  <cp:lastModifiedBy>Administrator</cp:lastModifiedBy>
  <dcterms:modified xsi:type="dcterms:W3CDTF">2017-09-19T08:44:43Z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