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bCs/>
          <w:szCs w:val="21"/>
        </w:rPr>
      </w:pPr>
      <w:r>
        <w:rPr>
          <w:rFonts w:hint="eastAsia" w:ascii="仿宋" w:hAnsi="仿宋" w:eastAsia="仿宋" w:cs="宋体"/>
          <w:b/>
          <w:bCs/>
          <w:szCs w:val="21"/>
        </w:rPr>
        <w:t>《经济贸易展览会  数据统计》</w:t>
      </w:r>
    </w:p>
    <w:p>
      <w:pPr>
        <w:jc w:val="center"/>
        <w:rPr>
          <w:rFonts w:ascii="仿宋" w:hAnsi="仿宋" w:eastAsia="仿宋" w:cs="宋体"/>
          <w:b/>
          <w:bCs/>
          <w:szCs w:val="21"/>
        </w:rPr>
      </w:pPr>
      <w:r>
        <w:rPr>
          <w:rFonts w:hint="eastAsia" w:ascii="仿宋" w:hAnsi="仿宋" w:eastAsia="仿宋" w:cs="宋体"/>
          <w:b/>
          <w:bCs/>
          <w:szCs w:val="21"/>
        </w:rPr>
        <w:t>Trade exhibition-Statistics</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1  范围</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本标准确立了经济贸易展览会主要数据的收集、整理、计算、和发布规则。</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本标准适用于经济贸易展览会的数据统计工作。</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2  规范性引用文件</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下列文件对于本文件的应用是必不可少的。凡是注日期的引用文件，仅注日期的版本适用于本文件。凡是不注日期的引用文件，其最新版本（包括所有的修改单）适用于文件。</w:t>
      </w:r>
    </w:p>
    <w:p>
      <w:pPr>
        <w:ind w:firstLine="420" w:firstLineChars="200"/>
        <w:contextualSpacing/>
        <w:jc w:val="left"/>
        <w:rPr>
          <w:rFonts w:ascii="仿宋" w:hAnsi="仿宋" w:eastAsia="仿宋" w:cs="宋体"/>
          <w:szCs w:val="21"/>
        </w:rPr>
      </w:pPr>
      <w:r>
        <w:rPr>
          <w:rFonts w:hint="eastAsia" w:ascii="仿宋" w:hAnsi="仿宋" w:eastAsia="仿宋" w:cs="宋体"/>
          <w:szCs w:val="21"/>
        </w:rPr>
        <w:t>GB/T 26165----2010  经济贸易展览会  术语</w:t>
      </w:r>
    </w:p>
    <w:p>
      <w:pPr>
        <w:ind w:firstLine="422" w:firstLineChars="200"/>
        <w:contextualSpacing/>
        <w:jc w:val="left"/>
        <w:rPr>
          <w:rFonts w:ascii="仿宋" w:hAnsi="仿宋" w:eastAsia="仿宋" w:cs="宋体"/>
          <w:szCs w:val="21"/>
        </w:rPr>
      </w:pPr>
      <w:r>
        <w:rPr>
          <w:rFonts w:hint="eastAsia" w:ascii="仿宋" w:hAnsi="仿宋" w:eastAsia="仿宋" w:cs="宋体"/>
          <w:b/>
          <w:bCs/>
          <w:szCs w:val="21"/>
        </w:rPr>
        <w:t>3  统计规则</w:t>
      </w:r>
    </w:p>
    <w:p>
      <w:pPr>
        <w:ind w:firstLine="420" w:firstLineChars="200"/>
        <w:contextualSpacing/>
        <w:jc w:val="left"/>
        <w:rPr>
          <w:rFonts w:ascii="仿宋" w:hAnsi="仿宋" w:eastAsia="仿宋" w:cs="宋体"/>
          <w:szCs w:val="21"/>
        </w:rPr>
      </w:pPr>
      <w:r>
        <w:rPr>
          <w:rFonts w:hint="eastAsia" w:ascii="仿宋" w:hAnsi="仿宋" w:eastAsia="仿宋" w:cs="宋体"/>
          <w:szCs w:val="21"/>
        </w:rPr>
        <w:t>3.1  观众数据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3.1.1  指标分类</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观众数据主要包括观众人数、参观人次、专业观众人数、专业观众参观人次、境外观众人数、境外观众参观人次、观众比例指标。</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3.3.1  观众人数与参观人数</w:t>
      </w:r>
    </w:p>
    <w:p>
      <w:pPr>
        <w:ind w:firstLine="420" w:firstLineChars="200"/>
        <w:contextualSpacing/>
        <w:jc w:val="left"/>
        <w:rPr>
          <w:rFonts w:ascii="仿宋" w:hAnsi="仿宋" w:eastAsia="仿宋" w:cs="宋体"/>
          <w:szCs w:val="21"/>
        </w:rPr>
      </w:pPr>
      <w:r>
        <w:rPr>
          <w:rFonts w:hint="eastAsia" w:ascii="仿宋" w:hAnsi="仿宋" w:eastAsia="仿宋" w:cs="宋体"/>
          <w:szCs w:val="21"/>
        </w:rPr>
        <w:t>3.1.2.1  对观众的判定应符合GB/T 26165----2010中2.3.9的定义，组织者、展览场所、服务商、参展商（含专场，不包含预展）到展览会结束日的全过程。</w:t>
      </w:r>
    </w:p>
    <w:p>
      <w:pPr>
        <w:ind w:firstLine="420" w:firstLineChars="200"/>
        <w:contextualSpacing/>
        <w:jc w:val="left"/>
        <w:rPr>
          <w:rFonts w:ascii="仿宋" w:hAnsi="仿宋" w:eastAsia="仿宋" w:cs="宋体"/>
          <w:szCs w:val="21"/>
        </w:rPr>
      </w:pPr>
      <w:r>
        <w:rPr>
          <w:rFonts w:hint="eastAsia" w:ascii="仿宋" w:hAnsi="仿宋" w:eastAsia="仿宋" w:cs="宋体"/>
          <w:szCs w:val="21"/>
        </w:rPr>
        <w:t>3.1.2.3  统计观众人数时，多次参观展览会的同一观众，统计为1位观众。</w:t>
      </w:r>
    </w:p>
    <w:p>
      <w:pPr>
        <w:ind w:firstLine="420" w:firstLineChars="200"/>
        <w:contextualSpacing/>
        <w:jc w:val="left"/>
        <w:rPr>
          <w:rFonts w:ascii="仿宋" w:hAnsi="仿宋" w:eastAsia="仿宋" w:cs="宋体"/>
          <w:szCs w:val="21"/>
        </w:rPr>
      </w:pPr>
      <w:r>
        <w:rPr>
          <w:rFonts w:hint="eastAsia" w:ascii="仿宋" w:hAnsi="仿宋" w:eastAsia="仿宋" w:cs="宋体"/>
          <w:szCs w:val="21"/>
        </w:rPr>
        <w:t>3.1.2.4  统计观众人数时，多次参观展览会的同一观众，按其进入展览会的次数统计，但同一日内最多统计为1次。</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3.1.3  专业观众数据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3.1.3.1  对专业观众的判定应符合GB/26165----2010中2.3.10的定义。</w:t>
      </w:r>
    </w:p>
    <w:p>
      <w:pPr>
        <w:ind w:firstLine="420" w:firstLineChars="200"/>
        <w:contextualSpacing/>
        <w:jc w:val="left"/>
        <w:rPr>
          <w:rFonts w:ascii="仿宋" w:hAnsi="仿宋" w:eastAsia="仿宋" w:cs="宋体"/>
          <w:szCs w:val="21"/>
        </w:rPr>
      </w:pPr>
      <w:r>
        <w:rPr>
          <w:rFonts w:hint="eastAsia" w:ascii="仿宋" w:hAnsi="仿宋" w:eastAsia="仿宋" w:cs="宋体"/>
          <w:szCs w:val="21"/>
        </w:rPr>
        <w:t>3.1.2.2  展览主（承）办单位应在展出前根据展览会主题和参展商业目标等因素预先设定专业观众的判定规划，并在专业观众人数统计时严格遵照执行。</w:t>
      </w:r>
    </w:p>
    <w:p>
      <w:pPr>
        <w:ind w:firstLine="420" w:firstLineChars="200"/>
        <w:contextualSpacing/>
        <w:jc w:val="left"/>
        <w:rPr>
          <w:rFonts w:ascii="仿宋" w:hAnsi="仿宋" w:eastAsia="仿宋" w:cs="宋体"/>
          <w:szCs w:val="21"/>
        </w:rPr>
      </w:pPr>
      <w:r>
        <w:rPr>
          <w:rFonts w:hint="eastAsia" w:ascii="仿宋" w:hAnsi="仿宋" w:eastAsia="仿宋" w:cs="宋体"/>
          <w:szCs w:val="21"/>
        </w:rPr>
        <w:t>3.1.3.3  统计专业观众人数时，多次参观展览会的同一专业观众，统计为1位专业观众。</w:t>
      </w:r>
    </w:p>
    <w:p>
      <w:pPr>
        <w:ind w:firstLine="420" w:firstLineChars="200"/>
        <w:contextualSpacing/>
        <w:jc w:val="left"/>
        <w:rPr>
          <w:rFonts w:ascii="仿宋" w:hAnsi="仿宋" w:eastAsia="仿宋" w:cs="宋体"/>
          <w:szCs w:val="21"/>
        </w:rPr>
      </w:pPr>
      <w:r>
        <w:rPr>
          <w:rFonts w:hint="eastAsia" w:ascii="仿宋" w:hAnsi="仿宋" w:eastAsia="仿宋" w:cs="宋体"/>
          <w:szCs w:val="21"/>
        </w:rPr>
        <w:t>3.1.3.4  统计专业观众参观人次时，多次参观展览会的同一专业观众，按其进入展览会的次数统计，但同一日内最多统计为1次。</w:t>
      </w:r>
    </w:p>
    <w:p>
      <w:pPr>
        <w:ind w:firstLine="420" w:firstLineChars="200"/>
        <w:contextualSpacing/>
        <w:jc w:val="left"/>
        <w:rPr>
          <w:rFonts w:ascii="仿宋" w:hAnsi="仿宋" w:eastAsia="仿宋" w:cs="宋体"/>
          <w:szCs w:val="21"/>
        </w:rPr>
      </w:pPr>
      <w:r>
        <w:rPr>
          <w:rFonts w:hint="eastAsia" w:ascii="仿宋" w:hAnsi="仿宋" w:eastAsia="仿宋" w:cs="宋体"/>
          <w:szCs w:val="21"/>
        </w:rPr>
        <w:t>3.1.3.5  设置观众登记系统的展览会，应通过观众登记系统统计专业观众数据。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3.1.3.6  未设置观众登记系统的展览会，应由独立的第三方机构通过抽样调查统计专业观众比例，并出具书面报告，报告可根据需要给出由专业观众比例换算而成的专业观众人数GB/T 30521---2014</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3.1.4  境外观众数据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3.1.4.1  对境外观众的判定应符合GB/26165----2010中2.3.12的定义。</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3.1.4.2  境外观众的判定依据为观众登记的通信地址或身份证明，其中任一信息显示为境外的，判定为境外观众。</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3.1.4.3  统计统计境外观众人数时，多次参观展览会的同一境外观众，统计为1位境外观众。</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3.1.4.4   统计境外观众参观人次时，多次参观展览会的同一境外观众，按其进入展览会的次数统计，但同一日内最多统计为1次。</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3.1.4.5  设置观众登记系统的展览会，应通过观众登记系统统计境外观众数据。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3.1.4.6  未设置观众登记系统的展览会，应由独立的第三方机构通过抽样调查统计境外观众比例，并出具书面报告，报告可根据需要给出由境外观众比例换算而成的境外观众人数。</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3.1.5  观众比例</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在统计观众中的某一群体（例如专业观众、境外观众等）占观众总数的比列时，应当使用观众人数比，而不应当使用参观人次比，其计算公式：</w:t>
      </w:r>
    </w:p>
    <w:p>
      <w:pPr>
        <w:ind w:firstLine="422" w:firstLineChars="200"/>
        <w:contextualSpacing/>
        <w:jc w:val="left"/>
        <w:rPr>
          <w:rFonts w:ascii="仿宋" w:hAnsi="仿宋" w:eastAsia="仿宋" w:cs="宋体"/>
          <w:szCs w:val="21"/>
          <w:vertAlign w:val="subscript"/>
        </w:rPr>
      </w:pPr>
      <w:r>
        <w:rPr>
          <w:rFonts w:hint="eastAsia" w:ascii="仿宋" w:hAnsi="仿宋" w:eastAsia="仿宋" w:cs="宋体"/>
          <w:b/>
          <w:bCs/>
          <w:position w:val="-24"/>
          <w:szCs w:val="21"/>
          <w:vertAlign w:val="subscript"/>
        </w:rPr>
        <w:object>
          <v:shape id="_x0000_i1025" o:spt="75" type="#_x0000_t75" style="height:30.7pt;width:81.5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仿宋" w:hAnsi="仿宋" w:eastAsia="仿宋" w:cs="宋体"/>
          <w:b/>
          <w:bCs/>
          <w:szCs w:val="21"/>
          <w:vertAlign w:val="subscript"/>
        </w:rPr>
        <w:t>。。。。。。。。。。。。。。。。。。。。（1）</w:t>
      </w:r>
    </w:p>
    <w:p>
      <w:pPr>
        <w:ind w:firstLine="420" w:firstLineChars="200"/>
        <w:contextualSpacing/>
        <w:jc w:val="left"/>
        <w:rPr>
          <w:rFonts w:ascii="仿宋" w:hAnsi="仿宋" w:eastAsia="仿宋" w:cs="宋体"/>
          <w:szCs w:val="21"/>
        </w:rPr>
      </w:pPr>
      <w:r>
        <w:rPr>
          <w:rFonts w:hint="eastAsia" w:ascii="仿宋" w:hAnsi="仿宋" w:eastAsia="仿宋" w:cs="宋体"/>
          <w:szCs w:val="21"/>
        </w:rPr>
        <w:t>式中：</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26" o:spt="75" type="#_x0000_t75" style="height:15.9pt;width:134.4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27" o:spt="75" type="#_x0000_t75" style="height:15.9pt;width:114.3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p>
    <w:p>
      <w:pPr>
        <w:ind w:firstLine="422" w:firstLineChars="200"/>
        <w:contextualSpacing/>
        <w:jc w:val="left"/>
        <w:rPr>
          <w:rFonts w:ascii="仿宋" w:hAnsi="仿宋" w:eastAsia="仿宋" w:cs="宋体"/>
          <w:b/>
          <w:bCs/>
          <w:szCs w:val="21"/>
        </w:rPr>
      </w:pPr>
      <w:r>
        <w:rPr>
          <w:rFonts w:hint="eastAsia" w:ascii="仿宋" w:hAnsi="仿宋" w:eastAsia="仿宋" w:cs="宋体"/>
          <w:b/>
          <w:bCs/>
          <w:position w:val="-8"/>
          <w:szCs w:val="21"/>
        </w:rPr>
        <w:object>
          <v:shape id="_x0000_i1028" o:spt="75" type="#_x0000_t75" style="height:15.9pt;width:108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3.1.6  抽样调查要求</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以获取境外观众人数或专业观众人数等数据为目的，所进行的观众抽样调查工作应满足如下要求：</w:t>
      </w:r>
    </w:p>
    <w:p>
      <w:pPr>
        <w:numPr>
          <w:ilvl w:val="0"/>
          <w:numId w:val="1"/>
        </w:numPr>
        <w:ind w:firstLine="420" w:firstLineChars="200"/>
        <w:contextualSpacing/>
        <w:jc w:val="left"/>
        <w:rPr>
          <w:rFonts w:ascii="仿宋" w:hAnsi="仿宋" w:eastAsia="仿宋" w:cs="宋体"/>
          <w:szCs w:val="21"/>
        </w:rPr>
      </w:pPr>
      <w:r>
        <w:rPr>
          <w:rFonts w:hint="eastAsia" w:ascii="仿宋" w:hAnsi="仿宋" w:eastAsia="仿宋" w:cs="宋体"/>
          <w:szCs w:val="21"/>
        </w:rPr>
        <w:t>抽样时间贯穿展览会所有正式开放日；</w:t>
      </w:r>
    </w:p>
    <w:p>
      <w:pPr>
        <w:numPr>
          <w:ilvl w:val="0"/>
          <w:numId w:val="1"/>
        </w:numPr>
        <w:ind w:firstLine="420" w:firstLineChars="200"/>
        <w:contextualSpacing/>
        <w:jc w:val="left"/>
        <w:rPr>
          <w:rFonts w:ascii="仿宋" w:hAnsi="仿宋" w:eastAsia="仿宋" w:cs="宋体"/>
          <w:szCs w:val="21"/>
        </w:rPr>
      </w:pPr>
      <w:r>
        <w:rPr>
          <w:rFonts w:hint="eastAsia" w:ascii="仿宋" w:hAnsi="仿宋" w:eastAsia="仿宋" w:cs="宋体"/>
          <w:szCs w:val="21"/>
        </w:rPr>
        <w:t>抽样地点覆盖展览会所有出入口，一旦设定后在抽样过程中保持不变；</w:t>
      </w:r>
    </w:p>
    <w:p>
      <w:pPr>
        <w:numPr>
          <w:ilvl w:val="0"/>
          <w:numId w:val="1"/>
        </w:numPr>
        <w:ind w:firstLine="420" w:firstLineChars="200"/>
        <w:contextualSpacing/>
        <w:jc w:val="left"/>
        <w:rPr>
          <w:rFonts w:ascii="仿宋" w:hAnsi="仿宋" w:eastAsia="仿宋" w:cs="宋体"/>
          <w:szCs w:val="21"/>
        </w:rPr>
      </w:pPr>
      <w:r>
        <w:rPr>
          <w:rFonts w:hint="eastAsia" w:ascii="仿宋" w:hAnsi="仿宋" w:eastAsia="仿宋" w:cs="宋体"/>
          <w:szCs w:val="21"/>
        </w:rPr>
        <w:t>样本数量不少于2000人；</w:t>
      </w:r>
    </w:p>
    <w:p>
      <w:pPr>
        <w:numPr>
          <w:ilvl w:val="0"/>
          <w:numId w:val="1"/>
        </w:numPr>
        <w:ind w:firstLine="420" w:firstLineChars="200"/>
        <w:contextualSpacing/>
        <w:jc w:val="left"/>
        <w:rPr>
          <w:rFonts w:ascii="仿宋" w:hAnsi="仿宋" w:eastAsia="仿宋" w:cs="宋体"/>
          <w:szCs w:val="21"/>
        </w:rPr>
      </w:pPr>
      <w:r>
        <w:rPr>
          <w:rFonts w:hint="eastAsia" w:ascii="仿宋" w:hAnsi="仿宋" w:eastAsia="仿宋" w:cs="宋体"/>
          <w:szCs w:val="21"/>
        </w:rPr>
        <w:t>调查结束后形成书面报告，明示样本数量、抽样时段和地点、数据来源、计算方法、并包含所有原始记录。</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3.2  参展商数据</w:t>
      </w:r>
    </w:p>
    <w:p>
      <w:pPr>
        <w:ind w:firstLine="422" w:firstLineChars="200"/>
        <w:contextualSpacing/>
        <w:jc w:val="left"/>
        <w:rPr>
          <w:rFonts w:ascii="仿宋" w:hAnsi="仿宋" w:eastAsia="仿宋" w:cs="宋体"/>
          <w:szCs w:val="21"/>
        </w:rPr>
      </w:pPr>
      <w:r>
        <w:rPr>
          <w:rFonts w:hint="eastAsia" w:ascii="仿宋" w:hAnsi="仿宋" w:eastAsia="仿宋" w:cs="宋体"/>
          <w:b/>
          <w:bCs/>
          <w:szCs w:val="21"/>
        </w:rPr>
        <w:t>3.2.1  指标分类</w:t>
      </w:r>
    </w:p>
    <w:p>
      <w:pPr>
        <w:ind w:firstLine="420" w:firstLineChars="200"/>
        <w:contextualSpacing/>
        <w:jc w:val="left"/>
        <w:rPr>
          <w:rFonts w:ascii="仿宋" w:hAnsi="仿宋" w:eastAsia="仿宋" w:cs="宋体"/>
          <w:szCs w:val="21"/>
        </w:rPr>
      </w:pPr>
      <w:r>
        <w:rPr>
          <w:rFonts w:hint="eastAsia" w:ascii="仿宋" w:hAnsi="仿宋" w:eastAsia="仿宋" w:cs="宋体"/>
          <w:szCs w:val="21"/>
        </w:rPr>
        <w:t>参展商数据暴扣参展商数量、境外参展商数量、国家展团数量、参展商比例指标。</w:t>
      </w:r>
    </w:p>
    <w:p>
      <w:pPr>
        <w:ind w:firstLine="420" w:firstLineChars="200"/>
        <w:contextualSpacing/>
        <w:jc w:val="left"/>
        <w:rPr>
          <w:rFonts w:ascii="仿宋" w:hAnsi="仿宋" w:eastAsia="仿宋" w:cs="宋体"/>
          <w:szCs w:val="21"/>
        </w:rPr>
      </w:pPr>
      <w:r>
        <w:rPr>
          <w:rFonts w:hint="eastAsia" w:ascii="仿宋" w:hAnsi="仿宋" w:eastAsia="仿宋" w:cs="宋体"/>
          <w:szCs w:val="21"/>
        </w:rPr>
        <w:t>3.2.1  参展商数量</w:t>
      </w:r>
    </w:p>
    <w:p>
      <w:pPr>
        <w:ind w:firstLine="420" w:firstLineChars="200"/>
        <w:contextualSpacing/>
        <w:jc w:val="left"/>
        <w:rPr>
          <w:rFonts w:ascii="仿宋" w:hAnsi="仿宋" w:eastAsia="仿宋" w:cs="宋体"/>
          <w:szCs w:val="21"/>
        </w:rPr>
      </w:pPr>
      <w:r>
        <w:rPr>
          <w:rFonts w:hint="eastAsia" w:ascii="仿宋" w:hAnsi="仿宋" w:eastAsia="仿宋" w:cs="宋体"/>
          <w:szCs w:val="21"/>
        </w:rPr>
        <w:t>3.2.2.1  与展览主（承）办单位签订参展商合同并被列入展览会参展商名录的组织或个人，应作为一个独立单元计入参展商数量。签订参展商合同但未出席展览会的参展商，不计入参展商数量。</w:t>
      </w:r>
    </w:p>
    <w:p>
      <w:pPr>
        <w:ind w:firstLine="420" w:firstLineChars="200"/>
        <w:contextualSpacing/>
        <w:jc w:val="left"/>
        <w:rPr>
          <w:rFonts w:ascii="仿宋" w:hAnsi="仿宋" w:eastAsia="仿宋" w:cs="宋体"/>
          <w:szCs w:val="21"/>
        </w:rPr>
      </w:pPr>
      <w:r>
        <w:rPr>
          <w:rFonts w:hint="eastAsia" w:ascii="仿宋" w:hAnsi="仿宋" w:eastAsia="仿宋" w:cs="宋体"/>
          <w:szCs w:val="21"/>
        </w:rPr>
        <w:t>3.2.2.2  租赁并使用多个独立展台的参展商，在同时满足一下条件时，可按照其设立展台的分区数目作为多个参展商计入参展商数量；</w:t>
      </w:r>
    </w:p>
    <w:p>
      <w:pPr>
        <w:ind w:firstLine="420" w:firstLineChars="200"/>
        <w:contextualSpacing/>
        <w:jc w:val="left"/>
        <w:rPr>
          <w:rFonts w:ascii="仿宋" w:hAnsi="仿宋" w:eastAsia="仿宋" w:cs="宋体"/>
          <w:szCs w:val="21"/>
        </w:rPr>
      </w:pPr>
      <w:r>
        <w:rPr>
          <w:rFonts w:hint="eastAsia" w:ascii="仿宋" w:hAnsi="仿宋" w:eastAsia="仿宋" w:cs="宋体"/>
          <w:szCs w:val="21"/>
        </w:rPr>
        <w:t>————主（承）办方单位为展览会设立了多个分区，用以展示不同类别的产品；</w:t>
      </w:r>
    </w:p>
    <w:p>
      <w:pPr>
        <w:ind w:firstLine="420" w:firstLineChars="200"/>
        <w:contextualSpacing/>
        <w:jc w:val="left"/>
        <w:rPr>
          <w:rFonts w:ascii="仿宋" w:hAnsi="仿宋" w:eastAsia="仿宋" w:cs="宋体"/>
          <w:szCs w:val="21"/>
        </w:rPr>
      </w:pPr>
      <w:r>
        <w:rPr>
          <w:rFonts w:hint="eastAsia" w:ascii="仿宋" w:hAnsi="仿宋" w:eastAsia="仿宋" w:cs="宋体"/>
          <w:szCs w:val="21"/>
        </w:rPr>
        <w:t>————该参展商在一个以上的分区中分别设立了独立的展台；</w:t>
      </w:r>
    </w:p>
    <w:p>
      <w:pPr>
        <w:ind w:firstLine="420" w:firstLineChars="200"/>
        <w:contextualSpacing/>
        <w:jc w:val="left"/>
        <w:rPr>
          <w:rFonts w:ascii="仿宋" w:hAnsi="仿宋" w:eastAsia="仿宋" w:cs="宋体"/>
          <w:szCs w:val="21"/>
        </w:rPr>
      </w:pPr>
      <w:r>
        <w:rPr>
          <w:rFonts w:hint="eastAsia" w:ascii="仿宋" w:hAnsi="仿宋" w:eastAsia="仿宋" w:cs="宋体"/>
          <w:szCs w:val="21"/>
        </w:rPr>
        <w:t>————该参展商在每个分区中展示的产品与服务均符合该分区类别。</w:t>
      </w:r>
    </w:p>
    <w:p>
      <w:pPr>
        <w:ind w:firstLine="420" w:firstLineChars="200"/>
        <w:contextualSpacing/>
        <w:jc w:val="left"/>
        <w:rPr>
          <w:rFonts w:ascii="仿宋" w:hAnsi="仿宋" w:eastAsia="仿宋" w:cs="宋体"/>
          <w:szCs w:val="21"/>
        </w:rPr>
      </w:pPr>
      <w:r>
        <w:rPr>
          <w:rFonts w:hint="eastAsia" w:ascii="仿宋" w:hAnsi="仿宋" w:eastAsia="仿宋" w:cs="宋体"/>
          <w:szCs w:val="21"/>
        </w:rPr>
        <w:t>3.2.2.3  为展览会提供餐饮、展台搭建、技术支持、导游等服务的组织或个人不计入参展商数量。</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3.2.3  境外参展商数量</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注册证明在境外的参展商、及注册在境内、但企业性质为外商独资企业的参展商，计为境外参展商。</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3.2.4  国家展团数量</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对国家展团的判定应符合GB/T 26165---2010中2.3.8的定义。</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3.2.5  参展商比例</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在统计参展商的某一群体（如境外参展商）占参展商总数的比例，应当使用参展商数量比。其计算公式为：</w:t>
      </w:r>
    </w:p>
    <w:p>
      <w:pPr>
        <w:ind w:firstLine="420" w:firstLineChars="200"/>
        <w:contextualSpacing/>
        <w:jc w:val="left"/>
        <w:rPr>
          <w:rFonts w:ascii="仿宋" w:hAnsi="仿宋" w:eastAsia="仿宋" w:cs="宋体"/>
          <w:szCs w:val="21"/>
        </w:rPr>
      </w:pPr>
      <w:r>
        <w:rPr>
          <w:rFonts w:hint="eastAsia" w:ascii="仿宋" w:hAnsi="仿宋" w:eastAsia="仿宋" w:cs="宋体"/>
          <w:position w:val="-24"/>
          <w:szCs w:val="21"/>
        </w:rPr>
        <w:object>
          <v:shape id="_x0000_i1029" o:spt="75" type="#_x0000_t75" style="height:30.7pt;width:76.2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p>
    <w:p>
      <w:pPr>
        <w:ind w:firstLine="420" w:firstLineChars="200"/>
        <w:contextualSpacing/>
        <w:jc w:val="left"/>
        <w:rPr>
          <w:rFonts w:ascii="仿宋" w:hAnsi="仿宋" w:eastAsia="仿宋" w:cs="宋体"/>
          <w:szCs w:val="21"/>
        </w:rPr>
      </w:pPr>
      <w:r>
        <w:rPr>
          <w:rFonts w:hint="eastAsia" w:ascii="仿宋" w:hAnsi="仿宋" w:eastAsia="仿宋" w:cs="宋体"/>
          <w:szCs w:val="21"/>
        </w:rPr>
        <w:t>式中：</w:t>
      </w:r>
    </w:p>
    <w:p>
      <w:pPr>
        <w:ind w:firstLine="420" w:firstLineChars="200"/>
        <w:contextualSpacing/>
        <w:jc w:val="left"/>
        <w:rPr>
          <w:rFonts w:ascii="仿宋" w:hAnsi="仿宋" w:eastAsia="仿宋" w:cs="宋体"/>
          <w:szCs w:val="21"/>
        </w:rPr>
      </w:pPr>
      <w:r>
        <w:rPr>
          <w:rFonts w:hint="eastAsia" w:ascii="仿宋" w:hAnsi="仿宋" w:eastAsia="仿宋" w:cs="宋体"/>
          <w:position w:val="-10"/>
          <w:szCs w:val="21"/>
        </w:rPr>
        <w:object>
          <v:shape id="_x0000_i1030" o:spt="75" type="#_x0000_t75" style="height:16.95pt;width:139.7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ascii="仿宋" w:hAnsi="仿宋" w:eastAsia="仿宋" w:cs="宋体"/>
          <w:szCs w:val="21"/>
        </w:rPr>
        <w:t>；</w:t>
      </w:r>
    </w:p>
    <w:p>
      <w:pPr>
        <w:ind w:firstLine="420" w:firstLineChars="200"/>
        <w:contextualSpacing/>
        <w:jc w:val="left"/>
        <w:rPr>
          <w:rFonts w:ascii="仿宋" w:hAnsi="仿宋" w:eastAsia="仿宋" w:cs="宋体"/>
          <w:szCs w:val="21"/>
        </w:rPr>
      </w:pPr>
      <w:r>
        <w:rPr>
          <w:rFonts w:hint="eastAsia" w:ascii="仿宋" w:hAnsi="仿宋" w:eastAsia="仿宋" w:cs="宋体"/>
          <w:position w:val="-10"/>
          <w:szCs w:val="21"/>
        </w:rPr>
        <w:object>
          <v:shape id="_x0000_i1031" o:spt="75" type="#_x0000_t75" style="height:16.95pt;width:127.0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object>
          <v:shape id="_x0000_i1032" o:spt="75" type="#_x0000_t75" style="height:16.95pt;width:117.5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3.3  展览面积数据</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3.3.1  指标分类</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展览面积数据主要包括展览净面积、展览总面积等指标。</w:t>
      </w:r>
    </w:p>
    <w:p>
      <w:pPr>
        <w:ind w:firstLine="420" w:firstLineChars="200"/>
        <w:contextualSpacing/>
        <w:jc w:val="left"/>
        <w:rPr>
          <w:rFonts w:ascii="仿宋" w:hAnsi="仿宋" w:eastAsia="仿宋" w:cs="宋体"/>
          <w:szCs w:val="21"/>
        </w:rPr>
      </w:pPr>
      <w:r>
        <w:rPr>
          <w:rFonts w:hint="eastAsia" w:ascii="仿宋" w:hAnsi="仿宋" w:eastAsia="仿宋" w:cs="宋体"/>
          <w:szCs w:val="21"/>
        </w:rPr>
        <w:t>3.3.2  展览净面积为展台净面积之和，应以展览主（承）方单位与参展商签订参展合同上所注明的展台面积为准，不应包含走道等公用区域。</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注：参展合同中注明的展台面积可包含赠与及交换面积。</w:t>
      </w:r>
    </w:p>
    <w:p>
      <w:pPr>
        <w:ind w:firstLine="420" w:firstLineChars="200"/>
        <w:contextualSpacing/>
        <w:jc w:val="left"/>
        <w:rPr>
          <w:rFonts w:ascii="仿宋" w:hAnsi="仿宋" w:eastAsia="仿宋" w:cs="宋体"/>
          <w:szCs w:val="21"/>
        </w:rPr>
      </w:pPr>
      <w:r>
        <w:rPr>
          <w:rFonts w:hint="eastAsia" w:ascii="仿宋" w:hAnsi="仿宋" w:eastAsia="仿宋" w:cs="宋体"/>
          <w:szCs w:val="21"/>
        </w:rPr>
        <w:t>3.3.2.2  因任意原因导致某个参展合同不能履行的，该合同中涉及的展台面积视为无效。</w:t>
      </w:r>
    </w:p>
    <w:p>
      <w:pPr>
        <w:ind w:firstLine="420" w:firstLineChars="200"/>
        <w:contextualSpacing/>
        <w:jc w:val="left"/>
        <w:rPr>
          <w:rFonts w:ascii="仿宋" w:hAnsi="仿宋" w:eastAsia="仿宋" w:cs="宋体"/>
          <w:szCs w:val="21"/>
        </w:rPr>
      </w:pPr>
      <w:r>
        <w:rPr>
          <w:rFonts w:hint="eastAsia" w:ascii="仿宋" w:hAnsi="仿宋" w:eastAsia="仿宋" w:cs="宋体"/>
          <w:szCs w:val="21"/>
        </w:rPr>
        <w:t>3.3.2.3  展览净面积的计算公式为：</w:t>
      </w:r>
    </w:p>
    <w:p>
      <w:pPr>
        <w:ind w:firstLine="422" w:firstLineChars="200"/>
        <w:contextualSpacing/>
        <w:jc w:val="left"/>
        <w:rPr>
          <w:rFonts w:ascii="仿宋" w:hAnsi="仿宋" w:eastAsia="仿宋" w:cs="宋体"/>
          <w:szCs w:val="21"/>
        </w:rPr>
      </w:pPr>
      <w:r>
        <w:rPr>
          <w:rFonts w:hint="eastAsia" w:ascii="仿宋" w:hAnsi="仿宋" w:eastAsia="仿宋" w:cs="宋体"/>
          <w:b/>
          <w:bCs/>
          <w:position w:val="-10"/>
          <w:szCs w:val="21"/>
        </w:rPr>
        <w:object>
          <v:shape id="_x0000_i1033" o:spt="75" type="#_x0000_t75" style="height:16.95pt;width:113.3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p>
    <w:p>
      <w:pPr>
        <w:ind w:firstLine="420" w:firstLineChars="200"/>
        <w:contextualSpacing/>
        <w:jc w:val="left"/>
        <w:rPr>
          <w:rFonts w:ascii="仿宋" w:hAnsi="仿宋" w:eastAsia="仿宋" w:cs="宋体"/>
          <w:szCs w:val="21"/>
        </w:rPr>
      </w:pPr>
      <w:r>
        <w:rPr>
          <w:rFonts w:hint="eastAsia" w:ascii="仿宋" w:hAnsi="仿宋" w:eastAsia="仿宋" w:cs="宋体"/>
          <w:szCs w:val="21"/>
        </w:rPr>
        <w:t>式中：</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34" o:spt="75" type="#_x0000_t75" style="height:14.8pt;width:29.65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r>
        <w:rPr>
          <w:rFonts w:hint="eastAsia" w:ascii="仿宋" w:hAnsi="仿宋" w:eastAsia="仿宋" w:cs="宋体"/>
          <w:szCs w:val="21"/>
        </w:rPr>
        <w:t>展览净面积，单位为平方米（m</w:t>
      </w:r>
      <w:r>
        <w:rPr>
          <w:rFonts w:hint="eastAsia" w:ascii="仿宋" w:hAnsi="仿宋" w:eastAsia="仿宋" w:cs="宋体"/>
          <w:szCs w:val="21"/>
          <w:vertAlign w:val="superscript"/>
        </w:rPr>
        <w:t>2</w:t>
      </w:r>
      <w:r>
        <w:rPr>
          <w:rFonts w:hint="eastAsia" w:ascii="仿宋" w:hAnsi="仿宋" w:eastAsia="仿宋" w:cs="宋体"/>
          <w:szCs w:val="21"/>
        </w:rPr>
        <w:t>)；</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35" o:spt="75" type="#_x0000_t75" style="height:14.8pt;width:45.55pt;" o:ole="t" filled="f" o:preferrelative="t" stroked="f" coordsize="21600,21600">
            <v:path/>
            <v:fill on="f" focussize="0,0"/>
            <v:stroke on="f" joinstyle="miter"/>
            <v:imagedata r:id="rId25" o:title=""/>
            <o:lock v:ext="edit" aspectratio="t"/>
            <w10:wrap type="none"/>
            <w10:anchorlock/>
          </v:shape>
          <o:OLEObject Type="Embed" ProgID="Equation.3" ShapeID="_x0000_i1035" DrawAspect="Content" ObjectID="_1468075735" r:id="rId24">
            <o:LockedField>false</o:LockedField>
          </o:OLEObject>
        </w:object>
      </w:r>
      <w:r>
        <w:rPr>
          <w:rFonts w:hint="eastAsia" w:ascii="仿宋" w:hAnsi="仿宋" w:eastAsia="仿宋" w:cs="宋体"/>
          <w:szCs w:val="21"/>
        </w:rPr>
        <w:t>第i个合同的展台面积，单位为平方米（m</w:t>
      </w:r>
      <w:r>
        <w:rPr>
          <w:rFonts w:hint="eastAsia" w:ascii="仿宋" w:hAnsi="仿宋" w:eastAsia="仿宋" w:cs="宋体"/>
          <w:szCs w:val="21"/>
          <w:vertAlign w:val="superscript"/>
        </w:rPr>
        <w:t>2</w:t>
      </w:r>
      <w:r>
        <w:rPr>
          <w:rFonts w:hint="eastAsia" w:ascii="仿宋" w:hAnsi="仿宋" w:eastAsia="仿宋" w:cs="宋体"/>
          <w:szCs w:val="21"/>
        </w:rPr>
        <w:t>)；</w:t>
      </w:r>
    </w:p>
    <w:p>
      <w:pPr>
        <w:ind w:firstLine="420" w:firstLineChars="200"/>
        <w:contextualSpacing/>
        <w:jc w:val="left"/>
        <w:rPr>
          <w:rFonts w:ascii="仿宋" w:hAnsi="仿宋" w:eastAsia="仿宋" w:cs="宋体"/>
          <w:szCs w:val="21"/>
        </w:rPr>
      </w:pPr>
      <w:r>
        <w:rPr>
          <w:rFonts w:hint="eastAsia" w:ascii="仿宋" w:hAnsi="仿宋" w:eastAsia="仿宋" w:cs="宋体"/>
          <w:position w:val="-10"/>
          <w:szCs w:val="21"/>
        </w:rPr>
        <w:object>
          <v:shape id="_x0000_i1036" o:spt="75" type="#_x0000_t75" style="height:12.7pt;width:24.35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r>
        <w:rPr>
          <w:rFonts w:hint="eastAsia" w:ascii="仿宋" w:hAnsi="仿宋" w:eastAsia="仿宋" w:cs="宋体"/>
          <w:szCs w:val="21"/>
        </w:rPr>
        <w:t>参展合同总数。</w:t>
      </w:r>
    </w:p>
    <w:p>
      <w:pPr>
        <w:ind w:firstLine="422" w:firstLineChars="200"/>
        <w:contextualSpacing/>
        <w:jc w:val="left"/>
        <w:rPr>
          <w:rFonts w:ascii="仿宋" w:hAnsi="仿宋" w:eastAsia="仿宋" w:cs="宋体"/>
          <w:szCs w:val="21"/>
        </w:rPr>
      </w:pPr>
      <w:r>
        <w:rPr>
          <w:rFonts w:hint="eastAsia" w:ascii="仿宋" w:hAnsi="仿宋" w:eastAsia="仿宋" w:cs="宋体"/>
          <w:b/>
          <w:bCs/>
          <w:szCs w:val="21"/>
        </w:rPr>
        <w:t>3.3.3.  展览总面积</w:t>
      </w:r>
    </w:p>
    <w:p>
      <w:pPr>
        <w:ind w:firstLine="420" w:firstLineChars="200"/>
        <w:contextualSpacing/>
        <w:jc w:val="left"/>
        <w:rPr>
          <w:rFonts w:ascii="仿宋" w:hAnsi="仿宋" w:eastAsia="仿宋" w:cs="宋体"/>
          <w:szCs w:val="21"/>
        </w:rPr>
      </w:pPr>
      <w:r>
        <w:rPr>
          <w:rFonts w:hint="eastAsia" w:ascii="仿宋" w:hAnsi="仿宋" w:eastAsia="仿宋" w:cs="宋体"/>
          <w:szCs w:val="21"/>
        </w:rPr>
        <w:t>3.3.3.1   展览总面积为展览活动实际使用的全部场地面积，计量单位平方米（m</w:t>
      </w:r>
      <w:r>
        <w:rPr>
          <w:rFonts w:hint="eastAsia" w:ascii="仿宋" w:hAnsi="仿宋" w:eastAsia="仿宋" w:cs="宋体"/>
          <w:szCs w:val="21"/>
          <w:vertAlign w:val="superscript"/>
        </w:rPr>
        <w:t>2</w:t>
      </w:r>
      <w:r>
        <w:rPr>
          <w:rFonts w:hint="eastAsia" w:ascii="仿宋" w:hAnsi="仿宋" w:eastAsia="仿宋" w:cs="宋体"/>
          <w:szCs w:val="21"/>
        </w:rPr>
        <w:t>)、展览场馆属的办公区域、餐饮区域、仓储区域面积等不计入展览总面积。</w:t>
      </w:r>
    </w:p>
    <w:p>
      <w:pPr>
        <w:ind w:firstLine="420" w:firstLineChars="200"/>
        <w:contextualSpacing/>
        <w:jc w:val="left"/>
        <w:rPr>
          <w:rFonts w:ascii="仿宋" w:hAnsi="仿宋" w:eastAsia="仿宋" w:cs="宋体"/>
          <w:szCs w:val="21"/>
        </w:rPr>
      </w:pPr>
      <w:r>
        <w:rPr>
          <w:rFonts w:hint="eastAsia" w:ascii="仿宋" w:hAnsi="仿宋" w:eastAsia="仿宋" w:cs="宋体"/>
          <w:szCs w:val="21"/>
        </w:rPr>
        <w:t>3.3.3.2   展览场馆中租用整个展厅的，应以展厅的设计使用面积作为计算依据。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3.3.3.3.  展览场馆中租用部分展厅或室外场所的，应以在该区域内的展台面积乘以适当的系数作为计算依据。该系数通常取2.2.</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3.4  年场馆出租率数据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3.4.1  年场馆出租率是指展览场馆咋一个自然年度内实际出租的室内面积总和与其可供出租的室内面积总和百分比。</w:t>
      </w:r>
    </w:p>
    <w:p>
      <w:pPr>
        <w:ind w:firstLine="420" w:firstLineChars="200"/>
        <w:contextualSpacing/>
        <w:jc w:val="left"/>
        <w:rPr>
          <w:rFonts w:ascii="仿宋" w:hAnsi="仿宋" w:eastAsia="仿宋" w:cs="宋体"/>
          <w:szCs w:val="21"/>
        </w:rPr>
      </w:pPr>
      <w:r>
        <w:rPr>
          <w:rFonts w:hint="eastAsia" w:ascii="仿宋" w:hAnsi="仿宋" w:eastAsia="仿宋" w:cs="宋体"/>
          <w:szCs w:val="21"/>
        </w:rPr>
        <w:t>3.4.2  年场馆出租率的计算公式为：</w:t>
      </w:r>
    </w:p>
    <w:p>
      <w:pPr>
        <w:ind w:firstLine="420" w:firstLineChars="200"/>
        <w:contextualSpacing/>
        <w:jc w:val="left"/>
        <w:rPr>
          <w:rFonts w:ascii="仿宋" w:hAnsi="仿宋" w:eastAsia="仿宋" w:cs="宋体"/>
          <w:szCs w:val="21"/>
        </w:rPr>
      </w:pPr>
      <w:r>
        <w:rPr>
          <w:rFonts w:hint="eastAsia" w:ascii="仿宋" w:hAnsi="仿宋" w:eastAsia="仿宋" w:cs="宋体"/>
          <w:position w:val="-24"/>
          <w:szCs w:val="21"/>
        </w:rPr>
        <w:object>
          <v:shape id="_x0000_i1037" o:spt="75" type="#_x0000_t75" style="height:52.95pt;width:77.3pt;" o:ole="t" filled="f" o:preferrelative="t" stroked="f" coordsize="21600,21600">
            <v:path/>
            <v:fill on="f" focussize="0,0"/>
            <v:stroke on="f" joinstyle="miter"/>
            <v:imagedata r:id="rId29" o:title=""/>
            <o:lock v:ext="edit" aspectratio="t"/>
            <w10:wrap type="none"/>
            <w10:anchorlock/>
          </v:shape>
          <o:OLEObject Type="Embed" ProgID="Equation.3" ShapeID="_x0000_i1037" DrawAspect="Content" ObjectID="_1468075737" r:id="rId28">
            <o:LockedField>false</o:LockedField>
          </o:OLEObject>
        </w:object>
      </w:r>
    </w:p>
    <w:p>
      <w:pPr>
        <w:ind w:firstLine="420" w:firstLineChars="200"/>
        <w:contextualSpacing/>
        <w:jc w:val="left"/>
        <w:rPr>
          <w:rFonts w:ascii="仿宋" w:hAnsi="仿宋" w:eastAsia="仿宋" w:cs="宋体"/>
          <w:szCs w:val="21"/>
        </w:rPr>
      </w:pPr>
      <w:r>
        <w:rPr>
          <w:rFonts w:hint="eastAsia" w:ascii="仿宋" w:hAnsi="仿宋" w:eastAsia="仿宋" w:cs="宋体"/>
          <w:szCs w:val="21"/>
        </w:rPr>
        <w:t>式中：</w:t>
      </w:r>
    </w:p>
    <w:p>
      <w:pPr>
        <w:ind w:firstLine="420" w:firstLineChars="200"/>
        <w:contextualSpacing/>
        <w:jc w:val="left"/>
        <w:rPr>
          <w:rFonts w:ascii="仿宋" w:hAnsi="仿宋" w:eastAsia="仿宋" w:cs="宋体"/>
          <w:szCs w:val="21"/>
        </w:rPr>
      </w:pPr>
      <w:r>
        <w:rPr>
          <w:rFonts w:hint="eastAsia" w:ascii="仿宋" w:hAnsi="仿宋" w:eastAsia="仿宋" w:cs="宋体"/>
          <w:szCs w:val="21"/>
        </w:rPr>
        <w:t>Y------年场馆出租率；</w:t>
      </w:r>
    </w:p>
    <w:p>
      <w:pPr>
        <w:ind w:firstLine="420" w:firstLineChars="200"/>
        <w:contextualSpacing/>
        <w:jc w:val="left"/>
        <w:rPr>
          <w:rFonts w:ascii="仿宋" w:hAnsi="仿宋" w:eastAsia="仿宋" w:cs="宋体"/>
          <w:szCs w:val="21"/>
        </w:rPr>
      </w:pPr>
      <w:r>
        <w:rPr>
          <w:rFonts w:hint="eastAsia" w:ascii="仿宋" w:hAnsi="仿宋" w:eastAsia="仿宋" w:cs="宋体"/>
          <w:szCs w:val="21"/>
        </w:rPr>
        <w:t>m-----展览场馆在一个自然年度内举办的展览会总数；</w:t>
      </w:r>
    </w:p>
    <w:p>
      <w:pPr>
        <w:ind w:firstLine="420" w:firstLineChars="200"/>
        <w:contextualSpacing/>
        <w:jc w:val="left"/>
        <w:rPr>
          <w:rFonts w:ascii="仿宋" w:hAnsi="仿宋" w:eastAsia="仿宋" w:cs="宋体"/>
          <w:szCs w:val="21"/>
        </w:rPr>
      </w:pPr>
      <w:r>
        <w:rPr>
          <w:rFonts w:hint="eastAsia" w:ascii="仿宋" w:hAnsi="仿宋" w:eastAsia="仿宋" w:cs="宋体"/>
          <w:szCs w:val="21"/>
        </w:rPr>
        <w:t>S</w:t>
      </w:r>
      <w:r>
        <w:rPr>
          <w:rFonts w:hint="eastAsia" w:ascii="仿宋" w:hAnsi="仿宋" w:eastAsia="仿宋" w:cs="宋体"/>
          <w:szCs w:val="21"/>
          <w:vertAlign w:val="subscript"/>
        </w:rPr>
        <w:t>i</w:t>
      </w:r>
      <w:r>
        <w:rPr>
          <w:rFonts w:hint="eastAsia" w:ascii="仿宋" w:hAnsi="仿宋" w:eastAsia="仿宋" w:cs="宋体"/>
          <w:szCs w:val="21"/>
        </w:rPr>
        <w:t>------第i个展览会租用的展览场馆室内面积，单位面积为平方米；</w:t>
      </w:r>
    </w:p>
    <w:p>
      <w:pPr>
        <w:ind w:firstLine="420" w:firstLineChars="200"/>
        <w:contextualSpacing/>
        <w:jc w:val="left"/>
        <w:rPr>
          <w:rFonts w:ascii="仿宋" w:hAnsi="仿宋" w:eastAsia="仿宋" w:cs="宋体"/>
          <w:szCs w:val="21"/>
        </w:rPr>
      </w:pPr>
      <w:r>
        <w:rPr>
          <w:rFonts w:hint="eastAsia" w:ascii="仿宋" w:hAnsi="仿宋" w:eastAsia="仿宋" w:cs="宋体"/>
          <w:szCs w:val="21"/>
        </w:rPr>
        <w:t>T</w:t>
      </w:r>
      <w:r>
        <w:rPr>
          <w:rFonts w:hint="eastAsia" w:ascii="仿宋" w:hAnsi="仿宋" w:eastAsia="仿宋" w:cs="宋体"/>
          <w:szCs w:val="21"/>
          <w:vertAlign w:val="subscript"/>
        </w:rPr>
        <w:t>i</w:t>
      </w:r>
      <w:r>
        <w:rPr>
          <w:rFonts w:hint="eastAsia" w:ascii="仿宋" w:hAnsi="仿宋" w:eastAsia="仿宋" w:cs="宋体"/>
          <w:szCs w:val="21"/>
        </w:rPr>
        <w:t>------第i个展览会租用展览场馆的天数；</w:t>
      </w:r>
    </w:p>
    <w:p>
      <w:pPr>
        <w:ind w:firstLine="420" w:firstLineChars="200"/>
        <w:contextualSpacing/>
        <w:jc w:val="left"/>
        <w:rPr>
          <w:rFonts w:ascii="仿宋" w:hAnsi="仿宋" w:eastAsia="仿宋" w:cs="宋体"/>
          <w:szCs w:val="21"/>
        </w:rPr>
      </w:pPr>
      <w:r>
        <w:rPr>
          <w:rFonts w:hint="eastAsia" w:ascii="仿宋" w:hAnsi="仿宋" w:eastAsia="仿宋" w:cs="宋体"/>
          <w:szCs w:val="21"/>
        </w:rPr>
        <w:t>S</w:t>
      </w:r>
      <w:r>
        <w:rPr>
          <w:rFonts w:hint="eastAsia" w:ascii="仿宋" w:hAnsi="仿宋" w:eastAsia="仿宋" w:cs="宋体"/>
          <w:szCs w:val="21"/>
          <w:vertAlign w:val="subscript"/>
        </w:rPr>
        <w:t>d</w:t>
      </w:r>
      <w:r>
        <w:rPr>
          <w:rFonts w:hint="eastAsia" w:ascii="仿宋" w:hAnsi="仿宋" w:eastAsia="仿宋" w:cs="宋体"/>
          <w:szCs w:val="21"/>
        </w:rPr>
        <w:t>-----展览场馆单日可供出租的室内面积，单位面积为平方米。</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3.5  展览收入数据</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3.5.1  指标分类</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展览收入数据主要包括展台的销售总额、展台销售均价、展览营业收入等指标。</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3.5.2  展台销售总额</w:t>
      </w:r>
    </w:p>
    <w:p>
      <w:pPr>
        <w:ind w:firstLine="420" w:firstLineChars="200"/>
        <w:contextualSpacing/>
        <w:jc w:val="left"/>
        <w:rPr>
          <w:rFonts w:ascii="仿宋" w:hAnsi="仿宋" w:eastAsia="仿宋" w:cs="宋体"/>
          <w:szCs w:val="21"/>
        </w:rPr>
      </w:pPr>
      <w:r>
        <w:rPr>
          <w:rFonts w:hint="eastAsia" w:ascii="仿宋" w:hAnsi="仿宋" w:eastAsia="仿宋" w:cs="宋体"/>
          <w:szCs w:val="21"/>
        </w:rPr>
        <w:t>3.5.2.1  展台销售总额应为展览主（承）办单位在一次展览会中销售展台的全部收入，应等于全部售出展台的销售价格之和。</w:t>
      </w:r>
    </w:p>
    <w:p>
      <w:pPr>
        <w:ind w:firstLine="420" w:firstLineChars="200"/>
        <w:contextualSpacing/>
        <w:jc w:val="left"/>
        <w:rPr>
          <w:rFonts w:ascii="仿宋" w:hAnsi="仿宋" w:eastAsia="仿宋" w:cs="宋体"/>
          <w:szCs w:val="21"/>
        </w:rPr>
      </w:pPr>
      <w:r>
        <w:rPr>
          <w:rFonts w:hint="eastAsia" w:ascii="仿宋" w:hAnsi="仿宋" w:eastAsia="仿宋" w:cs="宋体"/>
          <w:szCs w:val="21"/>
        </w:rPr>
        <w:t>3.5.2.2  展台销售额应以人民币为统一结算单位额，计算单位为元。</w:t>
      </w:r>
    </w:p>
    <w:p>
      <w:pPr>
        <w:ind w:firstLine="420" w:firstLineChars="200"/>
        <w:contextualSpacing/>
        <w:jc w:val="left"/>
        <w:rPr>
          <w:rFonts w:ascii="仿宋" w:hAnsi="仿宋" w:eastAsia="仿宋" w:cs="宋体"/>
          <w:szCs w:val="21"/>
        </w:rPr>
      </w:pPr>
      <w:r>
        <w:rPr>
          <w:rFonts w:hint="eastAsia" w:ascii="仿宋" w:hAnsi="仿宋" w:eastAsia="仿宋" w:cs="宋体"/>
          <w:szCs w:val="21"/>
        </w:rPr>
        <w:t>3.5.2.3  展台销售价格应以展览主（承）办单位与参展商所签订合同注明的展台价格为准。</w:t>
      </w:r>
    </w:p>
    <w:p>
      <w:pPr>
        <w:ind w:firstLine="420" w:firstLineChars="200"/>
        <w:contextualSpacing/>
        <w:jc w:val="left"/>
        <w:rPr>
          <w:rFonts w:ascii="仿宋" w:hAnsi="仿宋" w:eastAsia="仿宋" w:cs="宋体"/>
          <w:szCs w:val="21"/>
        </w:rPr>
      </w:pPr>
      <w:r>
        <w:rPr>
          <w:rFonts w:hint="eastAsia" w:ascii="仿宋" w:hAnsi="仿宋" w:eastAsia="仿宋" w:cs="宋体"/>
          <w:szCs w:val="21"/>
        </w:rPr>
        <w:t>3.5.2.4  参展合同中以其他货币作为结算单位的，应将展台价格以签订合同当日的汇率，折算为后计入展台销售额。</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3.5.3  展台销售均价</w:t>
      </w:r>
    </w:p>
    <w:p>
      <w:pPr>
        <w:ind w:firstLine="420" w:firstLineChars="200"/>
        <w:contextualSpacing/>
        <w:jc w:val="left"/>
        <w:rPr>
          <w:rFonts w:ascii="仿宋" w:hAnsi="仿宋" w:eastAsia="仿宋" w:cs="宋体"/>
          <w:szCs w:val="21"/>
        </w:rPr>
      </w:pPr>
      <w:r>
        <w:rPr>
          <w:rFonts w:hint="eastAsia" w:ascii="仿宋" w:hAnsi="仿宋" w:eastAsia="仿宋" w:cs="宋体"/>
          <w:szCs w:val="21"/>
        </w:rPr>
        <w:t>3.5.3.1  展台销售均价为每平方米展台面积的平均销售价。</w:t>
      </w:r>
    </w:p>
    <w:p>
      <w:pPr>
        <w:ind w:firstLine="420" w:firstLineChars="200"/>
        <w:contextualSpacing/>
        <w:jc w:val="left"/>
        <w:rPr>
          <w:rFonts w:ascii="仿宋" w:hAnsi="仿宋" w:eastAsia="仿宋" w:cs="宋体"/>
          <w:szCs w:val="21"/>
        </w:rPr>
      </w:pPr>
      <w:r>
        <w:rPr>
          <w:rFonts w:hint="eastAsia" w:ascii="仿宋" w:hAnsi="仿宋" w:eastAsia="仿宋" w:cs="宋体"/>
          <w:szCs w:val="21"/>
        </w:rPr>
        <w:t>3.5.3.2  展台销售均价的计算公式为：</w:t>
      </w:r>
    </w:p>
    <w:p>
      <w:pPr>
        <w:ind w:firstLine="420" w:firstLineChars="200"/>
        <w:contextualSpacing/>
        <w:jc w:val="left"/>
        <w:rPr>
          <w:rFonts w:ascii="仿宋" w:hAnsi="仿宋" w:eastAsia="仿宋" w:cs="宋体"/>
          <w:szCs w:val="21"/>
        </w:rPr>
      </w:pPr>
      <w:r>
        <w:rPr>
          <w:rFonts w:hint="eastAsia" w:ascii="仿宋" w:hAnsi="仿宋" w:eastAsia="仿宋" w:cs="宋体"/>
          <w:position w:val="-24"/>
          <w:szCs w:val="21"/>
        </w:rPr>
        <w:object>
          <v:shape id="_x0000_i1038" o:spt="75" type="#_x0000_t75" style="height:30.7pt;width:55.05pt;" o:ole="t" filled="f" o:preferrelative="t" stroked="f" coordsize="21600,21600">
            <v:path/>
            <v:fill on="f" focussize="0,0"/>
            <v:stroke on="f" joinstyle="miter"/>
            <v:imagedata r:id="rId31" o:title=""/>
            <o:lock v:ext="edit" aspectratio="t"/>
            <w10:wrap type="none"/>
            <w10:anchorlock/>
          </v:shape>
          <o:OLEObject Type="Embed" ProgID="Equation.3" ShapeID="_x0000_i1038" DrawAspect="Content" ObjectID="_1468075738" r:id="rId30">
            <o:LockedField>false</o:LockedField>
          </o:OLEObject>
        </w:object>
      </w:r>
    </w:p>
    <w:p>
      <w:pPr>
        <w:ind w:firstLine="420" w:firstLineChars="200"/>
        <w:contextualSpacing/>
        <w:jc w:val="left"/>
        <w:rPr>
          <w:rFonts w:ascii="仿宋" w:hAnsi="仿宋" w:eastAsia="仿宋" w:cs="宋体"/>
          <w:szCs w:val="21"/>
        </w:rPr>
      </w:pPr>
      <w:r>
        <w:rPr>
          <w:rFonts w:hint="eastAsia" w:ascii="仿宋" w:hAnsi="仿宋" w:eastAsia="仿宋" w:cs="宋体"/>
          <w:szCs w:val="21"/>
        </w:rPr>
        <w:t>式中：</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39" o:spt="75" type="#_x0000_t75" style="height:14.8pt;width:39.2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r>
        <w:rPr>
          <w:rFonts w:hint="eastAsia" w:ascii="仿宋" w:hAnsi="仿宋" w:eastAsia="仿宋" w:cs="宋体"/>
          <w:szCs w:val="21"/>
        </w:rPr>
        <w:t>展台销售均价，单位为元每平方米（元/m</w:t>
      </w:r>
      <w:r>
        <w:rPr>
          <w:rFonts w:hint="eastAsia" w:ascii="仿宋" w:hAnsi="仿宋" w:eastAsia="仿宋" w:cs="宋体"/>
          <w:szCs w:val="21"/>
          <w:vertAlign w:val="superscript"/>
        </w:rPr>
        <w:t>2</w:t>
      </w:r>
      <w:r>
        <w:rPr>
          <w:rFonts w:hint="eastAsia" w:ascii="仿宋" w:hAnsi="仿宋" w:eastAsia="仿宋" w:cs="宋体"/>
          <w:szCs w:val="21"/>
        </w:rPr>
        <w:t>）；</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40" o:spt="75" type="#_x0000_t75" style="height:14.8pt;width:38.1pt;" o:ole="t" filled="f" o:preferrelative="t" stroked="f" coordsize="21600,21600">
            <v:path/>
            <v:fill on="f" focussize="0,0"/>
            <v:stroke on="f" joinstyle="miter"/>
            <v:imagedata r:id="rId35" o:title=""/>
            <o:lock v:ext="edit" aspectratio="t"/>
            <w10:wrap type="none"/>
            <w10:anchorlock/>
          </v:shape>
          <o:OLEObject Type="Embed" ProgID="Equation.3" ShapeID="_x0000_i1040" DrawAspect="Content" ObjectID="_1468075740" r:id="rId34">
            <o:LockedField>false</o:LockedField>
          </o:OLEObject>
        </w:object>
      </w:r>
      <w:r>
        <w:rPr>
          <w:rFonts w:hint="eastAsia" w:ascii="仿宋" w:hAnsi="仿宋" w:eastAsia="仿宋" w:cs="宋体"/>
          <w:szCs w:val="21"/>
        </w:rPr>
        <w:t>展台销售额，单位为元；</w:t>
      </w:r>
    </w:p>
    <w:p>
      <w:pPr>
        <w:ind w:firstLine="420" w:firstLineChars="200"/>
        <w:contextualSpacing/>
        <w:jc w:val="left"/>
        <w:rPr>
          <w:rFonts w:ascii="仿宋" w:hAnsi="仿宋" w:eastAsia="仿宋" w:cs="宋体"/>
          <w:szCs w:val="21"/>
        </w:rPr>
      </w:pPr>
      <w:r>
        <w:rPr>
          <w:rFonts w:hint="eastAsia" w:ascii="仿宋" w:hAnsi="仿宋" w:eastAsia="仿宋" w:cs="宋体"/>
          <w:position w:val="-8"/>
          <w:szCs w:val="21"/>
        </w:rPr>
        <w:object>
          <v:shape id="_x0000_i1041" o:spt="75" type="#_x0000_t75" style="height:14.8pt;width:31.75pt;" o:ole="t" filled="f" o:preferrelative="t" stroked="f" coordsize="21600,21600">
            <v:path/>
            <v:fill on="f" focussize="0,0"/>
            <v:stroke on="f" joinstyle="miter"/>
            <v:imagedata r:id="rId37" o:title=""/>
            <o:lock v:ext="edit" aspectratio="t"/>
            <w10:wrap type="none"/>
            <w10:anchorlock/>
          </v:shape>
          <o:OLEObject Type="Embed" ProgID="Equation.3" ShapeID="_x0000_i1041" DrawAspect="Content" ObjectID="_1468075741" r:id="rId36">
            <o:LockedField>false</o:LockedField>
          </o:OLEObject>
        </w:object>
      </w:r>
      <w:r>
        <w:rPr>
          <w:rFonts w:hint="eastAsia" w:ascii="仿宋" w:hAnsi="仿宋" w:eastAsia="仿宋" w:cs="宋体"/>
          <w:szCs w:val="21"/>
        </w:rPr>
        <w:t>展览净面积，单位为平方米（m</w:t>
      </w:r>
      <w:r>
        <w:rPr>
          <w:rFonts w:hint="eastAsia" w:ascii="仿宋" w:hAnsi="仿宋" w:eastAsia="仿宋" w:cs="宋体"/>
          <w:szCs w:val="21"/>
          <w:vertAlign w:val="superscript"/>
        </w:rPr>
        <w:t>2</w:t>
      </w:r>
      <w:r>
        <w:rPr>
          <w:rFonts w:hint="eastAsia" w:ascii="仿宋" w:hAnsi="仿宋" w:eastAsia="仿宋" w:cs="宋体"/>
          <w:szCs w:val="21"/>
        </w:rPr>
        <w:t>）。</w:t>
      </w:r>
    </w:p>
    <w:p>
      <w:pPr>
        <w:ind w:firstLine="420" w:firstLineChars="200"/>
        <w:contextualSpacing/>
        <w:jc w:val="left"/>
        <w:rPr>
          <w:rFonts w:ascii="仿宋" w:hAnsi="仿宋" w:eastAsia="仿宋" w:cs="宋体"/>
          <w:szCs w:val="21"/>
        </w:rPr>
      </w:pP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3.5.4  展览营业收入</w:t>
      </w:r>
    </w:p>
    <w:p>
      <w:pPr>
        <w:ind w:firstLine="420" w:firstLineChars="200"/>
        <w:contextualSpacing/>
        <w:jc w:val="left"/>
        <w:rPr>
          <w:rFonts w:ascii="仿宋" w:hAnsi="仿宋" w:eastAsia="仿宋" w:cs="宋体"/>
          <w:szCs w:val="21"/>
        </w:rPr>
      </w:pPr>
      <w:r>
        <w:rPr>
          <w:rFonts w:hint="eastAsia" w:ascii="仿宋" w:hAnsi="仿宋" w:eastAsia="仿宋" w:cs="宋体"/>
          <w:szCs w:val="21"/>
        </w:rPr>
        <w:t xml:space="preserve">  展览营业收入应为展览会的展台销售总额与展览会其他资源（如广告、赞助、门券、会刊及相关电子商务等）的销售之和，计量单位为元。</w:t>
      </w:r>
    </w:p>
    <w:p>
      <w:pPr>
        <w:ind w:firstLine="422" w:firstLineChars="200"/>
        <w:contextualSpacing/>
        <w:jc w:val="left"/>
        <w:rPr>
          <w:rFonts w:ascii="仿宋" w:hAnsi="仿宋" w:eastAsia="仿宋" w:cs="宋体"/>
          <w:b/>
          <w:bCs/>
          <w:szCs w:val="21"/>
        </w:rPr>
      </w:pPr>
      <w:r>
        <w:rPr>
          <w:rFonts w:hint="eastAsia" w:ascii="仿宋" w:hAnsi="仿宋" w:eastAsia="仿宋" w:cs="宋体"/>
          <w:b/>
          <w:bCs/>
          <w:szCs w:val="21"/>
        </w:rPr>
        <w:t>4    展览会数据统计报告</w:t>
      </w:r>
    </w:p>
    <w:p>
      <w:pPr>
        <w:ind w:firstLine="420" w:firstLineChars="200"/>
        <w:contextualSpacing/>
        <w:jc w:val="left"/>
        <w:rPr>
          <w:rFonts w:ascii="仿宋" w:hAnsi="仿宋" w:eastAsia="仿宋" w:cs="宋体"/>
          <w:szCs w:val="21"/>
        </w:rPr>
      </w:pPr>
      <w:r>
        <w:rPr>
          <w:rFonts w:hint="eastAsia" w:ascii="仿宋" w:hAnsi="仿宋" w:eastAsia="仿宋" w:cs="宋体"/>
          <w:szCs w:val="21"/>
        </w:rPr>
        <w:t>4.1   在展览会结束后的一个月内，展览主（承）办单位应依据本标准要求编制统计报告，并提交给展览会的审批成备案单位。</w:t>
      </w:r>
    </w:p>
    <w:p>
      <w:pPr>
        <w:ind w:firstLine="420" w:firstLineChars="200"/>
        <w:contextualSpacing/>
        <w:jc w:val="left"/>
        <w:rPr>
          <w:rFonts w:ascii="仿宋" w:hAnsi="仿宋" w:eastAsia="仿宋" w:cs="宋体"/>
          <w:szCs w:val="21"/>
        </w:rPr>
      </w:pPr>
      <w:r>
        <w:rPr>
          <w:rFonts w:hint="eastAsia" w:ascii="仿宋" w:hAnsi="仿宋" w:eastAsia="仿宋" w:cs="宋体"/>
          <w:szCs w:val="21"/>
        </w:rPr>
        <w:t>4.2   展览会统计报告中应至少包含3.1、3.2、3.3中规定的全部数据，并可包含3.5中规定的数据，还可根据实际需要，在统计报告中增加其他数据。</w:t>
      </w:r>
    </w:p>
    <w:p>
      <w:pPr>
        <w:ind w:firstLine="420" w:firstLineChars="200"/>
        <w:contextualSpacing/>
        <w:jc w:val="left"/>
        <w:rPr>
          <w:rFonts w:ascii="仿宋" w:hAnsi="仿宋" w:eastAsia="仿宋" w:cs="宋体"/>
          <w:szCs w:val="21"/>
        </w:rPr>
      </w:pPr>
      <w:r>
        <w:rPr>
          <w:rFonts w:hint="eastAsia" w:ascii="仿宋" w:hAnsi="仿宋" w:eastAsia="仿宋" w:cs="宋体"/>
          <w:szCs w:val="21"/>
        </w:rPr>
        <w:t>4.3   展览会统计报告的格式可参考表A.1及表A.2。</w:t>
      </w:r>
    </w:p>
    <w:p>
      <w:pPr>
        <w:ind w:firstLine="420" w:firstLineChars="200"/>
        <w:contextualSpacing/>
        <w:jc w:val="left"/>
        <w:rPr>
          <w:rFonts w:ascii="仿宋" w:hAnsi="仿宋" w:eastAsia="仿宋" w:cs="宋体"/>
          <w:szCs w:val="21"/>
        </w:rPr>
      </w:pPr>
      <w:r>
        <w:rPr>
          <w:rFonts w:hint="eastAsia" w:ascii="仿宋" w:hAnsi="仿宋" w:eastAsia="仿宋" w:cs="宋体"/>
          <w:szCs w:val="21"/>
        </w:rPr>
        <w:t>4.4   展览主（承）办单位应当建立展会数据统计工作的内部审核制度，指定专职部门对数据收集、整理、计算和发布等工作进行监督审核。</w:t>
      </w:r>
    </w:p>
    <w:p>
      <w:pPr>
        <w:ind w:firstLine="420" w:firstLineChars="200"/>
        <w:contextualSpacing/>
        <w:jc w:val="left"/>
        <w:rPr>
          <w:rFonts w:ascii="仿宋" w:hAnsi="仿宋" w:eastAsia="仿宋" w:cs="宋体"/>
          <w:szCs w:val="21"/>
        </w:rPr>
      </w:pPr>
      <w:r>
        <w:rPr>
          <w:rFonts w:hint="eastAsia" w:ascii="仿宋" w:hAnsi="仿宋" w:eastAsia="仿宋" w:cs="宋体"/>
          <w:szCs w:val="21"/>
        </w:rPr>
        <w:t>4.5   各级各类展览会审批或备案单位可聘请具备相关资质的独立第三方机构对展会数据统计工作进行审核。</w:t>
      </w:r>
    </w:p>
    <w:p>
      <w:pPr>
        <w:spacing w:line="360" w:lineRule="auto"/>
        <w:ind w:firstLine="420" w:firstLineChars="200"/>
        <w:contextualSpacing/>
        <w:jc w:val="left"/>
        <w:rPr>
          <w:rFonts w:ascii="仿宋" w:hAnsi="仿宋" w:eastAsia="仿宋"/>
          <w:szCs w:val="21"/>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粗仿宋简">
    <w:altName w:val="微软雅黑"/>
    <w:panose1 w:val="00000000000000000000"/>
    <w:charset w:val="86"/>
    <w:family w:val="auto"/>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0016"/>
    <w:multiLevelType w:val="singleLevel"/>
    <w:tmpl w:val="58C50016"/>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425D4"/>
    <w:rsid w:val="7F042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0" Type="http://schemas.openxmlformats.org/officeDocument/2006/relationships/fontTable" Target="fontTable.xml"/><Relationship Id="rId4" Type="http://schemas.openxmlformats.org/officeDocument/2006/relationships/oleObject" Target="embeddings/oleObject1.bin"/><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2017-09-19T08:45:00Z</dcterms:created>
  <dc:creator>Administrator</dc:creator>
  <cp:lastModifiedBy>Administrator</cp:lastModifiedBy>
  <dcterms:modified xsi:type="dcterms:W3CDTF">2017-09-19T08:45:35Z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